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351453">
      <w:pPr>
        <w:spacing w:after="0" w:line="360" w:lineRule="auto"/>
        <w:jc w:val="both"/>
        <w:rPr>
          <w:rFonts w:ascii="Palatino Linotype" w:hAnsi="Palatino Linotype" w:cs="Arial"/>
          <w:b/>
          <w:sz w:val="24"/>
          <w:szCs w:val="24"/>
        </w:rPr>
      </w:pPr>
      <w:r w:rsidRPr="0037358E">
        <w:rPr>
          <w:rFonts w:ascii="Palatino Linotype" w:hAnsi="Palatino Linotype" w:cs="Arial"/>
          <w:b/>
          <w:sz w:val="24"/>
          <w:szCs w:val="24"/>
        </w:rPr>
        <w:t xml:space="preserve">VOTO PARTICULAR DEL COMISIONADO JOSÉ GUADALUPE LUNA HERNÁNDEZ EN EL RECURSO DE REVISIÓN </w:t>
      </w:r>
      <w:r w:rsidR="00012CAF">
        <w:rPr>
          <w:rFonts w:ascii="Palatino Linotype" w:hAnsi="Palatino Linotype" w:cs="Arial"/>
          <w:b/>
          <w:sz w:val="24"/>
          <w:szCs w:val="24"/>
        </w:rPr>
        <w:t>02409/INFOEM/IP/RR/2018</w:t>
      </w:r>
      <w:r w:rsidRPr="0037358E">
        <w:rPr>
          <w:rFonts w:ascii="Palatino Linotype" w:hAnsi="Palatino Linotype" w:cs="Arial"/>
          <w:b/>
          <w:sz w:val="24"/>
          <w:szCs w:val="24"/>
        </w:rPr>
        <w:t>.</w:t>
      </w:r>
    </w:p>
    <w:p w:rsidR="0009550C" w:rsidRDefault="0009550C" w:rsidP="00351453">
      <w:pPr>
        <w:spacing w:after="0" w:line="360" w:lineRule="auto"/>
        <w:jc w:val="both"/>
        <w:rPr>
          <w:rFonts w:ascii="Palatino Linotype" w:hAnsi="Palatino Linotype" w:cs="Arial"/>
          <w:b/>
          <w:sz w:val="24"/>
          <w:szCs w:val="24"/>
        </w:rPr>
      </w:pPr>
    </w:p>
    <w:p w:rsidR="00E776DB" w:rsidRPr="0037358E" w:rsidRDefault="00627CAE" w:rsidP="00351453">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w:t>
      </w:r>
      <w:r w:rsidR="00F22581">
        <w:rPr>
          <w:rFonts w:ascii="Palatino Linotype" w:hAnsi="Palatino Linotype" w:cs="Arial"/>
          <w:sz w:val="24"/>
          <w:szCs w:val="24"/>
        </w:rPr>
        <w:t>cceso a la información pública.</w:t>
      </w:r>
    </w:p>
    <w:p w:rsidR="00627CAE" w:rsidRPr="0037358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Pr="00B50675" w:rsidRDefault="00DC11A3" w:rsidP="00351453">
      <w:pPr>
        <w:spacing w:after="0" w:line="360" w:lineRule="auto"/>
        <w:jc w:val="center"/>
        <w:rPr>
          <w:rFonts w:ascii="Palatino Linotype" w:eastAsia="Times New Roman" w:hAnsi="Palatino Linotype" w:cs="Arial"/>
          <w:b/>
          <w:sz w:val="24"/>
          <w:szCs w:val="24"/>
          <w:lang w:val="es-ES" w:eastAsia="es-ES"/>
        </w:rPr>
      </w:pPr>
      <w:r w:rsidRPr="00B50675">
        <w:rPr>
          <w:rFonts w:ascii="Palatino Linotype" w:eastAsia="Times New Roman" w:hAnsi="Palatino Linotype" w:cs="Arial"/>
          <w:b/>
          <w:sz w:val="24"/>
          <w:szCs w:val="24"/>
          <w:lang w:val="es-ES" w:eastAsia="es-ES"/>
        </w:rPr>
        <w:t>INDICE</w:t>
      </w:r>
    </w:p>
    <w:p w:rsidR="00DC11A3" w:rsidRDefault="00DC11A3" w:rsidP="00351453">
      <w:pPr>
        <w:spacing w:after="0" w:line="360" w:lineRule="auto"/>
        <w:jc w:val="both"/>
        <w:rPr>
          <w:rFonts w:ascii="Palatino Linotype" w:eastAsia="Times New Roman" w:hAnsi="Palatino Linotype" w:cs="Arial"/>
          <w:sz w:val="24"/>
          <w:szCs w:val="24"/>
          <w:lang w:val="es-ES" w:eastAsia="es-ES"/>
        </w:rPr>
      </w:pP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DC11A3" w:rsidRDefault="00DC11A3" w:rsidP="00351453">
          <w:pPr>
            <w:pStyle w:val="TtulodeTDC"/>
            <w:rPr>
              <w:rFonts w:ascii="Palatino Linotype" w:hAnsi="Palatino Linotype"/>
              <w:b/>
              <w:color w:val="auto"/>
              <w:sz w:val="24"/>
              <w:lang w:val="es-ES"/>
            </w:rPr>
          </w:pPr>
          <w:r w:rsidRPr="003416F2">
            <w:rPr>
              <w:rFonts w:ascii="Palatino Linotype" w:hAnsi="Palatino Linotype"/>
              <w:b/>
              <w:color w:val="auto"/>
              <w:sz w:val="24"/>
              <w:lang w:val="es-ES"/>
            </w:rPr>
            <w:t>Contenido</w:t>
          </w:r>
        </w:p>
        <w:p w:rsidR="00B50675" w:rsidRPr="00B50675" w:rsidRDefault="00B50675" w:rsidP="00B50675">
          <w:pPr>
            <w:rPr>
              <w:lang w:val="es-ES" w:eastAsia="es-MX"/>
            </w:rPr>
          </w:pPr>
        </w:p>
        <w:p w:rsidR="00E776DB" w:rsidRDefault="00DC11A3">
          <w:pPr>
            <w:pStyle w:val="TDC1"/>
            <w:tabs>
              <w:tab w:val="left" w:pos="440"/>
              <w:tab w:val="right" w:leader="dot" w:pos="8828"/>
            </w:tabs>
            <w:rPr>
              <w:rFonts w:eastAsiaTheme="minorEastAsia"/>
              <w:noProof/>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523746020" w:history="1">
            <w:r w:rsidR="00E776DB" w:rsidRPr="00A93940">
              <w:rPr>
                <w:rStyle w:val="Hipervnculo"/>
                <w:rFonts w:ascii="Palatino Linotype" w:hAnsi="Palatino Linotype"/>
                <w:b/>
                <w:noProof/>
              </w:rPr>
              <w:t>I.</w:t>
            </w:r>
            <w:r w:rsidR="00E776DB">
              <w:rPr>
                <w:rFonts w:eastAsiaTheme="minorEastAsia"/>
                <w:noProof/>
                <w:lang w:eastAsia="es-MX"/>
              </w:rPr>
              <w:tab/>
            </w:r>
            <w:r w:rsidR="00E776DB" w:rsidRPr="00A93940">
              <w:rPr>
                <w:rStyle w:val="Hipervnculo"/>
                <w:rFonts w:ascii="Palatino Linotype" w:hAnsi="Palatino Linotype"/>
                <w:b/>
                <w:noProof/>
              </w:rPr>
              <w:t>Consideraciones generales</w:t>
            </w:r>
            <w:r w:rsidR="00E776DB">
              <w:rPr>
                <w:noProof/>
                <w:webHidden/>
              </w:rPr>
              <w:tab/>
            </w:r>
            <w:r w:rsidR="00E776DB">
              <w:rPr>
                <w:noProof/>
                <w:webHidden/>
              </w:rPr>
              <w:fldChar w:fldCharType="begin"/>
            </w:r>
            <w:r w:rsidR="00E776DB">
              <w:rPr>
                <w:noProof/>
                <w:webHidden/>
              </w:rPr>
              <w:instrText xml:space="preserve"> PAGEREF _Toc523746020 \h </w:instrText>
            </w:r>
            <w:r w:rsidR="00E776DB">
              <w:rPr>
                <w:noProof/>
                <w:webHidden/>
              </w:rPr>
            </w:r>
            <w:r w:rsidR="00E776DB">
              <w:rPr>
                <w:noProof/>
                <w:webHidden/>
              </w:rPr>
              <w:fldChar w:fldCharType="separate"/>
            </w:r>
            <w:r w:rsidR="009C2111">
              <w:rPr>
                <w:noProof/>
                <w:webHidden/>
              </w:rPr>
              <w:t>2</w:t>
            </w:r>
            <w:r w:rsidR="00E776DB">
              <w:rPr>
                <w:noProof/>
                <w:webHidden/>
              </w:rPr>
              <w:fldChar w:fldCharType="end"/>
            </w:r>
          </w:hyperlink>
        </w:p>
        <w:p w:rsidR="00E776DB" w:rsidRDefault="00B335EC">
          <w:pPr>
            <w:pStyle w:val="TDC1"/>
            <w:tabs>
              <w:tab w:val="left" w:pos="660"/>
              <w:tab w:val="right" w:leader="dot" w:pos="8828"/>
            </w:tabs>
            <w:rPr>
              <w:rFonts w:eastAsiaTheme="minorEastAsia"/>
              <w:noProof/>
              <w:lang w:eastAsia="es-MX"/>
            </w:rPr>
          </w:pPr>
          <w:hyperlink w:anchor="_Toc523746021" w:history="1">
            <w:r w:rsidR="00E776DB" w:rsidRPr="00A93940">
              <w:rPr>
                <w:rStyle w:val="Hipervnculo"/>
                <w:rFonts w:ascii="Palatino Linotype" w:hAnsi="Palatino Linotype"/>
                <w:b/>
                <w:noProof/>
              </w:rPr>
              <w:t>II.</w:t>
            </w:r>
            <w:r w:rsidR="00E776DB">
              <w:rPr>
                <w:rFonts w:eastAsiaTheme="minorEastAsia"/>
                <w:noProof/>
                <w:lang w:eastAsia="es-MX"/>
              </w:rPr>
              <w:tab/>
            </w:r>
            <w:r w:rsidR="00E776DB" w:rsidRPr="00A93940">
              <w:rPr>
                <w:rStyle w:val="Hipervnculo"/>
                <w:rFonts w:ascii="Palatino Linotype" w:hAnsi="Palatino Linotype"/>
                <w:b/>
                <w:noProof/>
              </w:rPr>
              <w:t>De los requerimientos planteados en el recurso de revisión.</w:t>
            </w:r>
            <w:r w:rsidR="00E776DB">
              <w:rPr>
                <w:noProof/>
                <w:webHidden/>
              </w:rPr>
              <w:tab/>
            </w:r>
            <w:r w:rsidR="00E776DB">
              <w:rPr>
                <w:noProof/>
                <w:webHidden/>
              </w:rPr>
              <w:fldChar w:fldCharType="begin"/>
            </w:r>
            <w:r w:rsidR="00E776DB">
              <w:rPr>
                <w:noProof/>
                <w:webHidden/>
              </w:rPr>
              <w:instrText xml:space="preserve"> PAGEREF _Toc523746021 \h </w:instrText>
            </w:r>
            <w:r w:rsidR="00E776DB">
              <w:rPr>
                <w:noProof/>
                <w:webHidden/>
              </w:rPr>
            </w:r>
            <w:r w:rsidR="00E776DB">
              <w:rPr>
                <w:noProof/>
                <w:webHidden/>
              </w:rPr>
              <w:fldChar w:fldCharType="separate"/>
            </w:r>
            <w:r w:rsidR="009C2111">
              <w:rPr>
                <w:noProof/>
                <w:webHidden/>
              </w:rPr>
              <w:t>3</w:t>
            </w:r>
            <w:r w:rsidR="00E776DB">
              <w:rPr>
                <w:noProof/>
                <w:webHidden/>
              </w:rPr>
              <w:fldChar w:fldCharType="end"/>
            </w:r>
          </w:hyperlink>
        </w:p>
        <w:p w:rsidR="00E776DB" w:rsidRDefault="00B335EC">
          <w:pPr>
            <w:pStyle w:val="TDC2"/>
            <w:rPr>
              <w:rFonts w:eastAsiaTheme="minorEastAsia"/>
              <w:noProof/>
              <w:lang w:eastAsia="es-MX"/>
            </w:rPr>
          </w:pPr>
          <w:hyperlink w:anchor="_Toc523746022" w:history="1">
            <w:r w:rsidR="00E776DB" w:rsidRPr="00A93940">
              <w:rPr>
                <w:rStyle w:val="Hipervnculo"/>
                <w:rFonts w:ascii="Palatino Linotype" w:eastAsiaTheme="majorEastAsia" w:hAnsi="Palatino Linotype" w:cs="Arial"/>
                <w:b/>
                <w:iCs/>
                <w:noProof/>
              </w:rPr>
              <w:t>I.</w:t>
            </w:r>
            <w:r w:rsidR="00E776DB">
              <w:rPr>
                <w:rFonts w:eastAsiaTheme="minorEastAsia"/>
                <w:noProof/>
                <w:lang w:eastAsia="es-MX"/>
              </w:rPr>
              <w:tab/>
            </w:r>
            <w:r w:rsidR="00E776DB" w:rsidRPr="00A93940">
              <w:rPr>
                <w:rStyle w:val="Hipervnculo"/>
                <w:rFonts w:ascii="Palatino Linotype" w:eastAsiaTheme="majorEastAsia" w:hAnsi="Palatino Linotype" w:cs="Arial"/>
                <w:b/>
                <w:iCs/>
                <w:noProof/>
              </w:rPr>
              <w:t>El derecho de acceso a la información pública.</w:t>
            </w:r>
            <w:r w:rsidR="00E776DB">
              <w:rPr>
                <w:noProof/>
                <w:webHidden/>
              </w:rPr>
              <w:tab/>
            </w:r>
            <w:r w:rsidR="00E776DB">
              <w:rPr>
                <w:noProof/>
                <w:webHidden/>
              </w:rPr>
              <w:fldChar w:fldCharType="begin"/>
            </w:r>
            <w:r w:rsidR="00E776DB">
              <w:rPr>
                <w:noProof/>
                <w:webHidden/>
              </w:rPr>
              <w:instrText xml:space="preserve"> PAGEREF _Toc523746022 \h </w:instrText>
            </w:r>
            <w:r w:rsidR="00E776DB">
              <w:rPr>
                <w:noProof/>
                <w:webHidden/>
              </w:rPr>
            </w:r>
            <w:r w:rsidR="00E776DB">
              <w:rPr>
                <w:noProof/>
                <w:webHidden/>
              </w:rPr>
              <w:fldChar w:fldCharType="separate"/>
            </w:r>
            <w:r w:rsidR="009C2111">
              <w:rPr>
                <w:noProof/>
                <w:webHidden/>
              </w:rPr>
              <w:t>5</w:t>
            </w:r>
            <w:r w:rsidR="00E776DB">
              <w:rPr>
                <w:noProof/>
                <w:webHidden/>
              </w:rPr>
              <w:fldChar w:fldCharType="end"/>
            </w:r>
          </w:hyperlink>
        </w:p>
        <w:p w:rsidR="00E776DB" w:rsidRDefault="00B335EC">
          <w:pPr>
            <w:pStyle w:val="TDC2"/>
            <w:rPr>
              <w:rFonts w:eastAsiaTheme="minorEastAsia"/>
              <w:noProof/>
              <w:lang w:eastAsia="es-MX"/>
            </w:rPr>
          </w:pPr>
          <w:hyperlink w:anchor="_Toc523746023" w:history="1">
            <w:r w:rsidR="00E776DB" w:rsidRPr="00A93940">
              <w:rPr>
                <w:rStyle w:val="Hipervnculo"/>
                <w:rFonts w:ascii="Palatino Linotype" w:eastAsiaTheme="majorEastAsia" w:hAnsi="Palatino Linotype" w:cs="Arial"/>
                <w:b/>
                <w:iCs/>
                <w:noProof/>
              </w:rPr>
              <w:t>II.</w:t>
            </w:r>
            <w:r w:rsidR="00E776DB">
              <w:rPr>
                <w:rFonts w:eastAsiaTheme="minorEastAsia"/>
                <w:noProof/>
                <w:lang w:eastAsia="es-MX"/>
              </w:rPr>
              <w:tab/>
            </w:r>
            <w:r w:rsidR="00E776DB" w:rsidRPr="00A93940">
              <w:rPr>
                <w:rStyle w:val="Hipervnculo"/>
                <w:rFonts w:ascii="Palatino Linotype" w:eastAsiaTheme="majorEastAsia" w:hAnsi="Palatino Linotype" w:cs="Arial"/>
                <w:b/>
                <w:iCs/>
                <w:noProof/>
              </w:rPr>
              <w:t>Las garantías primarias del derecho de acceso a la información pública.</w:t>
            </w:r>
            <w:r w:rsidR="00E776DB">
              <w:rPr>
                <w:noProof/>
                <w:webHidden/>
              </w:rPr>
              <w:tab/>
            </w:r>
            <w:r w:rsidR="00E776DB">
              <w:rPr>
                <w:noProof/>
                <w:webHidden/>
              </w:rPr>
              <w:fldChar w:fldCharType="begin"/>
            </w:r>
            <w:r w:rsidR="00E776DB">
              <w:rPr>
                <w:noProof/>
                <w:webHidden/>
              </w:rPr>
              <w:instrText xml:space="preserve"> PAGEREF _Toc523746023 \h </w:instrText>
            </w:r>
            <w:r w:rsidR="00E776DB">
              <w:rPr>
                <w:noProof/>
                <w:webHidden/>
              </w:rPr>
            </w:r>
            <w:r w:rsidR="00E776DB">
              <w:rPr>
                <w:noProof/>
                <w:webHidden/>
              </w:rPr>
              <w:fldChar w:fldCharType="separate"/>
            </w:r>
            <w:r w:rsidR="009C2111">
              <w:rPr>
                <w:noProof/>
                <w:webHidden/>
              </w:rPr>
              <w:t>7</w:t>
            </w:r>
            <w:r w:rsidR="00E776DB">
              <w:rPr>
                <w:noProof/>
                <w:webHidden/>
              </w:rPr>
              <w:fldChar w:fldCharType="end"/>
            </w:r>
          </w:hyperlink>
        </w:p>
        <w:p w:rsidR="00E776DB" w:rsidRDefault="00B335EC">
          <w:pPr>
            <w:pStyle w:val="TDC2"/>
            <w:rPr>
              <w:rFonts w:eastAsiaTheme="minorEastAsia"/>
              <w:noProof/>
              <w:lang w:eastAsia="es-MX"/>
            </w:rPr>
          </w:pPr>
          <w:hyperlink w:anchor="_Toc523746024" w:history="1">
            <w:r w:rsidR="00E776DB" w:rsidRPr="00A93940">
              <w:rPr>
                <w:rStyle w:val="Hipervnculo"/>
                <w:rFonts w:ascii="Palatino Linotype" w:eastAsiaTheme="majorEastAsia" w:hAnsi="Palatino Linotype" w:cs="Arial"/>
                <w:b/>
                <w:iCs/>
                <w:noProof/>
              </w:rPr>
              <w:t>III.</w:t>
            </w:r>
            <w:r w:rsidR="00E776DB">
              <w:rPr>
                <w:rFonts w:eastAsiaTheme="minorEastAsia"/>
                <w:noProof/>
                <w:lang w:eastAsia="es-MX"/>
              </w:rPr>
              <w:tab/>
            </w:r>
            <w:r w:rsidR="00E776DB" w:rsidRPr="00A93940">
              <w:rPr>
                <w:rStyle w:val="Hipervnculo"/>
                <w:rFonts w:ascii="Palatino Linotype" w:eastAsiaTheme="majorEastAsia" w:hAnsi="Palatino Linotype" w:cs="Arial"/>
                <w:b/>
                <w:iCs/>
                <w:noProof/>
              </w:rPr>
              <w:t>La garantía secundaria del derecho de acceso a la información pública.</w:t>
            </w:r>
            <w:r w:rsidR="00E776DB">
              <w:rPr>
                <w:noProof/>
                <w:webHidden/>
              </w:rPr>
              <w:tab/>
            </w:r>
            <w:r w:rsidR="00E776DB">
              <w:rPr>
                <w:noProof/>
                <w:webHidden/>
              </w:rPr>
              <w:fldChar w:fldCharType="begin"/>
            </w:r>
            <w:r w:rsidR="00E776DB">
              <w:rPr>
                <w:noProof/>
                <w:webHidden/>
              </w:rPr>
              <w:instrText xml:space="preserve"> PAGEREF _Toc523746024 \h </w:instrText>
            </w:r>
            <w:r w:rsidR="00E776DB">
              <w:rPr>
                <w:noProof/>
                <w:webHidden/>
              </w:rPr>
            </w:r>
            <w:r w:rsidR="00E776DB">
              <w:rPr>
                <w:noProof/>
                <w:webHidden/>
              </w:rPr>
              <w:fldChar w:fldCharType="separate"/>
            </w:r>
            <w:r w:rsidR="009C2111">
              <w:rPr>
                <w:noProof/>
                <w:webHidden/>
              </w:rPr>
              <w:t>8</w:t>
            </w:r>
            <w:r w:rsidR="00E776DB">
              <w:rPr>
                <w:noProof/>
                <w:webHidden/>
              </w:rPr>
              <w:fldChar w:fldCharType="end"/>
            </w:r>
          </w:hyperlink>
        </w:p>
        <w:p w:rsidR="00E776DB" w:rsidRDefault="00B335EC">
          <w:pPr>
            <w:pStyle w:val="TDC2"/>
            <w:rPr>
              <w:rFonts w:eastAsiaTheme="minorEastAsia"/>
              <w:noProof/>
              <w:lang w:eastAsia="es-MX"/>
            </w:rPr>
          </w:pPr>
          <w:hyperlink w:anchor="_Toc523746025" w:history="1">
            <w:r w:rsidR="00E776DB" w:rsidRPr="00A93940">
              <w:rPr>
                <w:rStyle w:val="Hipervnculo"/>
                <w:rFonts w:ascii="Palatino Linotype" w:hAnsi="Palatino Linotype"/>
                <w:b/>
                <w:noProof/>
              </w:rPr>
              <w:t>III.</w:t>
            </w:r>
            <w:r w:rsidR="00E776DB">
              <w:rPr>
                <w:rFonts w:eastAsiaTheme="minorEastAsia"/>
                <w:noProof/>
                <w:lang w:eastAsia="es-MX"/>
              </w:rPr>
              <w:tab/>
            </w:r>
            <w:r w:rsidR="00E776DB" w:rsidRPr="00A93940">
              <w:rPr>
                <w:rStyle w:val="Hipervnculo"/>
                <w:rFonts w:ascii="Palatino Linotype" w:hAnsi="Palatino Linotype"/>
                <w:b/>
                <w:noProof/>
              </w:rPr>
              <w:t>De las Facultades que este Instituto tiene en materia de suplencia de la queja</w:t>
            </w:r>
            <w:r w:rsidR="00E776DB">
              <w:rPr>
                <w:noProof/>
                <w:webHidden/>
              </w:rPr>
              <w:tab/>
            </w:r>
            <w:r w:rsidR="00E776DB">
              <w:rPr>
                <w:noProof/>
                <w:webHidden/>
              </w:rPr>
              <w:fldChar w:fldCharType="begin"/>
            </w:r>
            <w:r w:rsidR="00E776DB">
              <w:rPr>
                <w:noProof/>
                <w:webHidden/>
              </w:rPr>
              <w:instrText xml:space="preserve"> PAGEREF _Toc523746025 \h </w:instrText>
            </w:r>
            <w:r w:rsidR="00E776DB">
              <w:rPr>
                <w:noProof/>
                <w:webHidden/>
              </w:rPr>
            </w:r>
            <w:r w:rsidR="00E776DB">
              <w:rPr>
                <w:noProof/>
                <w:webHidden/>
              </w:rPr>
              <w:fldChar w:fldCharType="separate"/>
            </w:r>
            <w:r w:rsidR="009C2111">
              <w:rPr>
                <w:noProof/>
                <w:webHidden/>
              </w:rPr>
              <w:t>10</w:t>
            </w:r>
            <w:r w:rsidR="00E776DB">
              <w:rPr>
                <w:noProof/>
                <w:webHidden/>
              </w:rPr>
              <w:fldChar w:fldCharType="end"/>
            </w:r>
          </w:hyperlink>
        </w:p>
        <w:p w:rsidR="00E776DB" w:rsidRDefault="00B335EC">
          <w:pPr>
            <w:pStyle w:val="TDC1"/>
            <w:tabs>
              <w:tab w:val="left" w:pos="660"/>
              <w:tab w:val="right" w:leader="dot" w:pos="8828"/>
            </w:tabs>
            <w:rPr>
              <w:rFonts w:eastAsiaTheme="minorEastAsia"/>
              <w:noProof/>
              <w:lang w:eastAsia="es-MX"/>
            </w:rPr>
          </w:pPr>
          <w:hyperlink w:anchor="_Toc523746026" w:history="1">
            <w:r w:rsidR="00E776DB" w:rsidRPr="00A93940">
              <w:rPr>
                <w:rStyle w:val="Hipervnculo"/>
                <w:rFonts w:ascii="Palatino Linotype" w:hAnsi="Palatino Linotype"/>
                <w:b/>
                <w:noProof/>
                <w:lang w:val="es-ES"/>
              </w:rPr>
              <w:t>IV.</w:t>
            </w:r>
            <w:r w:rsidR="00E776DB">
              <w:rPr>
                <w:rFonts w:eastAsiaTheme="minorEastAsia"/>
                <w:noProof/>
                <w:lang w:eastAsia="es-MX"/>
              </w:rPr>
              <w:tab/>
            </w:r>
            <w:r w:rsidR="00E776DB" w:rsidRPr="00A93940">
              <w:rPr>
                <w:rStyle w:val="Hipervnculo"/>
                <w:rFonts w:ascii="Palatino Linotype" w:hAnsi="Palatino Linotype"/>
                <w:b/>
                <w:noProof/>
                <w:lang w:val="es-ES"/>
              </w:rPr>
              <w:t>Conclusión.</w:t>
            </w:r>
            <w:r w:rsidR="00E776DB">
              <w:rPr>
                <w:noProof/>
                <w:webHidden/>
              </w:rPr>
              <w:tab/>
            </w:r>
            <w:r w:rsidR="00E776DB">
              <w:rPr>
                <w:noProof/>
                <w:webHidden/>
              </w:rPr>
              <w:fldChar w:fldCharType="begin"/>
            </w:r>
            <w:r w:rsidR="00E776DB">
              <w:rPr>
                <w:noProof/>
                <w:webHidden/>
              </w:rPr>
              <w:instrText xml:space="preserve"> PAGEREF _Toc523746026 \h </w:instrText>
            </w:r>
            <w:r w:rsidR="00E776DB">
              <w:rPr>
                <w:noProof/>
                <w:webHidden/>
              </w:rPr>
            </w:r>
            <w:r w:rsidR="00E776DB">
              <w:rPr>
                <w:noProof/>
                <w:webHidden/>
              </w:rPr>
              <w:fldChar w:fldCharType="separate"/>
            </w:r>
            <w:r w:rsidR="009C2111">
              <w:rPr>
                <w:noProof/>
                <w:webHidden/>
              </w:rPr>
              <w:t>15</w:t>
            </w:r>
            <w:r w:rsidR="00E776DB">
              <w:rPr>
                <w:noProof/>
                <w:webHidden/>
              </w:rPr>
              <w:fldChar w:fldCharType="end"/>
            </w:r>
          </w:hyperlink>
        </w:p>
        <w:p w:rsidR="00DC11A3" w:rsidRPr="00EB7D05" w:rsidRDefault="00DC11A3" w:rsidP="00EB7D05">
          <w:r>
            <w:rPr>
              <w:b/>
              <w:bCs/>
              <w:lang w:val="es-ES"/>
            </w:rPr>
            <w:fldChar w:fldCharType="end"/>
          </w:r>
        </w:p>
      </w:sdtContent>
    </w:sdt>
    <w:p w:rsidR="005E1430" w:rsidRDefault="005E1430" w:rsidP="005E1430">
      <w:pPr>
        <w:pStyle w:val="Ttulo1"/>
        <w:rPr>
          <w:rFonts w:ascii="Palatino Linotype" w:hAnsi="Palatino Linotype"/>
          <w:b/>
          <w:color w:val="auto"/>
          <w:sz w:val="24"/>
        </w:rPr>
      </w:pPr>
    </w:p>
    <w:p w:rsidR="005E1430" w:rsidRDefault="005E1430" w:rsidP="005E1430"/>
    <w:p w:rsidR="005E1430" w:rsidRDefault="005E1430" w:rsidP="005E1430"/>
    <w:p w:rsidR="006B001E" w:rsidRDefault="006B001E" w:rsidP="005E1430"/>
    <w:p w:rsidR="006B001E" w:rsidRDefault="006B001E" w:rsidP="005E1430"/>
    <w:p w:rsidR="005E1430" w:rsidRDefault="005E1430" w:rsidP="005E1430"/>
    <w:p w:rsidR="005E1430" w:rsidRPr="005E1430" w:rsidRDefault="005E1430" w:rsidP="005E1430"/>
    <w:p w:rsidR="00627CAE" w:rsidRPr="00EB7D05" w:rsidRDefault="00627CAE" w:rsidP="00EB7D05">
      <w:pPr>
        <w:pStyle w:val="Ttulo1"/>
        <w:numPr>
          <w:ilvl w:val="0"/>
          <w:numId w:val="16"/>
        </w:numPr>
        <w:ind w:left="0" w:firstLine="0"/>
        <w:rPr>
          <w:rFonts w:ascii="Palatino Linotype" w:hAnsi="Palatino Linotype"/>
          <w:b/>
          <w:color w:val="auto"/>
          <w:sz w:val="24"/>
        </w:rPr>
      </w:pPr>
      <w:bookmarkStart w:id="0" w:name="_Toc523746020"/>
      <w:r w:rsidRPr="00EB7D05">
        <w:rPr>
          <w:rFonts w:ascii="Palatino Linotype" w:hAnsi="Palatino Linotype"/>
          <w:b/>
          <w:color w:val="auto"/>
          <w:sz w:val="24"/>
        </w:rPr>
        <w:t>Consideraciones generales</w:t>
      </w:r>
      <w:bookmarkEnd w:id="0"/>
    </w:p>
    <w:p w:rsidR="00627CAE" w:rsidRPr="0037358E" w:rsidRDefault="00627CAE" w:rsidP="00351453">
      <w:pPr>
        <w:spacing w:after="0" w:line="360" w:lineRule="auto"/>
        <w:jc w:val="both"/>
        <w:rPr>
          <w:rFonts w:ascii="Palatino Linotype" w:hAnsi="Palatino Linotype" w:cs="Arial"/>
          <w:sz w:val="24"/>
          <w:szCs w:val="24"/>
        </w:rPr>
      </w:pPr>
    </w:p>
    <w:p w:rsidR="00627CAE" w:rsidRDefault="00627CAE" w:rsidP="00351453">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conc</w:t>
      </w:r>
      <w:r w:rsidR="00012CAF">
        <w:rPr>
          <w:rFonts w:ascii="Palatino Linotype" w:eastAsia="Times New Roman" w:hAnsi="Palatino Linotype" w:cs="Arial"/>
          <w:sz w:val="24"/>
          <w:szCs w:val="24"/>
          <w:lang w:val="es-ES_tradnl"/>
        </w:rPr>
        <w:t>urrido con mi voto particular en</w:t>
      </w:r>
      <w:r w:rsidRPr="0037358E">
        <w:rPr>
          <w:rFonts w:ascii="Palatino Linotype" w:eastAsia="Times New Roman" w:hAnsi="Palatino Linotype" w:cs="Arial"/>
          <w:sz w:val="24"/>
          <w:szCs w:val="24"/>
          <w:lang w:val="es-ES_tradnl"/>
        </w:rPr>
        <w:t xml:space="preserv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012CAF">
        <w:rPr>
          <w:rFonts w:ascii="Palatino Linotype" w:hAnsi="Palatino Linotype" w:cs="Arial"/>
          <w:sz w:val="24"/>
          <w:szCs w:val="24"/>
        </w:rPr>
        <w:t xml:space="preserve">Trigésima </w:t>
      </w:r>
      <w:r w:rsidR="006B001E">
        <w:rPr>
          <w:rFonts w:ascii="Palatino Linotype" w:hAnsi="Palatino Linotype" w:cs="Arial"/>
          <w:sz w:val="24"/>
          <w:szCs w:val="24"/>
        </w:rPr>
        <w:t xml:space="preserve">Primera </w:t>
      </w:r>
      <w:r w:rsidR="00012CAF">
        <w:rPr>
          <w:rFonts w:ascii="Palatino Linotype" w:hAnsi="Palatino Linotype" w:cs="Arial"/>
          <w:sz w:val="24"/>
          <w:szCs w:val="24"/>
        </w:rPr>
        <w:t xml:space="preserve">Sesión  </w:t>
      </w:r>
      <w:r w:rsidR="00F22581">
        <w:rPr>
          <w:rFonts w:ascii="Palatino Linotype" w:hAnsi="Palatino Linotype" w:cs="Arial"/>
          <w:sz w:val="24"/>
          <w:szCs w:val="24"/>
        </w:rPr>
        <w:t xml:space="preserve"> O</w:t>
      </w:r>
      <w:r w:rsidRPr="0037358E">
        <w:rPr>
          <w:rFonts w:ascii="Palatino Linotype" w:hAnsi="Palatino Linotype" w:cs="Arial"/>
          <w:sz w:val="24"/>
          <w:szCs w:val="24"/>
        </w:rPr>
        <w:t xml:space="preserve">rdinaria llevada a cabo el </w:t>
      </w:r>
      <w:r w:rsidR="00012CAF">
        <w:rPr>
          <w:rFonts w:ascii="Palatino Linotype" w:hAnsi="Palatino Linotype" w:cs="Arial"/>
          <w:sz w:val="24"/>
          <w:szCs w:val="24"/>
        </w:rPr>
        <w:t>veintinueve</w:t>
      </w:r>
      <w:r w:rsidRPr="0037358E">
        <w:rPr>
          <w:rFonts w:ascii="Palatino Linotype" w:hAnsi="Palatino Linotype" w:cs="Arial"/>
          <w:sz w:val="24"/>
          <w:szCs w:val="24"/>
        </w:rPr>
        <w:t xml:space="preserve"> (</w:t>
      </w:r>
      <w:r w:rsidR="00012CAF">
        <w:rPr>
          <w:rFonts w:ascii="Palatino Linotype" w:hAnsi="Palatino Linotype" w:cs="Arial"/>
          <w:sz w:val="24"/>
          <w:szCs w:val="24"/>
        </w:rPr>
        <w:t>29) de agosto de dos mil dieciocho</w:t>
      </w:r>
      <w:r w:rsidRPr="0037358E">
        <w:rPr>
          <w:rFonts w:ascii="Palatino Linotype" w:hAnsi="Palatino Linotype" w:cs="Arial"/>
          <w:sz w:val="24"/>
          <w:szCs w:val="24"/>
        </w:rPr>
        <w:t xml:space="preserve">, en el recurso de revisión promovido por </w:t>
      </w:r>
      <w:r w:rsidR="00CD1E4F">
        <w:rPr>
          <w:rFonts w:ascii="Palatino Linotype" w:hAnsi="Palatino Linotype" w:cs="Arial"/>
          <w:b/>
          <w:sz w:val="24"/>
          <w:szCs w:val="24"/>
        </w:rPr>
        <w:t>**** **** **** ****</w:t>
      </w:r>
      <w:bookmarkStart w:id="1" w:name="_GoBack"/>
      <w:bookmarkEnd w:id="1"/>
      <w:r w:rsidR="00012CAF">
        <w:rPr>
          <w:rFonts w:ascii="Palatino Linotype" w:hAnsi="Palatino Linotype" w:cs="Arial"/>
          <w:b/>
          <w:sz w:val="24"/>
          <w:szCs w:val="24"/>
        </w:rPr>
        <w:t xml:space="preserve"> </w:t>
      </w:r>
      <w:r w:rsidRPr="0037358E">
        <w:rPr>
          <w:rFonts w:ascii="Palatino Linotype" w:hAnsi="Palatino Linotype" w:cs="Arial"/>
          <w:sz w:val="24"/>
          <w:szCs w:val="24"/>
        </w:rPr>
        <w:t>en contra de la</w:t>
      </w:r>
      <w:r>
        <w:rPr>
          <w:rFonts w:ascii="Palatino Linotype" w:hAnsi="Palatino Linotype" w:cs="Arial"/>
          <w:sz w:val="24"/>
          <w:szCs w:val="24"/>
        </w:rPr>
        <w:t xml:space="preserve"> respuesta</w:t>
      </w:r>
      <w:r w:rsidR="00012CAF">
        <w:rPr>
          <w:rFonts w:ascii="Palatino Linotype" w:hAnsi="Palatino Linotype" w:cs="Arial"/>
          <w:sz w:val="24"/>
          <w:szCs w:val="24"/>
        </w:rPr>
        <w:t xml:space="preserve"> de la </w:t>
      </w:r>
      <w:r w:rsidRPr="0037358E">
        <w:rPr>
          <w:rFonts w:ascii="Palatino Linotype" w:hAnsi="Palatino Linotype" w:cs="Arial"/>
          <w:sz w:val="24"/>
          <w:szCs w:val="24"/>
        </w:rPr>
        <w:t xml:space="preserve"> </w:t>
      </w:r>
      <w:r w:rsidR="00012CAF">
        <w:rPr>
          <w:rFonts w:ascii="Palatino Linotype" w:hAnsi="Palatino Linotype" w:cs="Arial"/>
          <w:b/>
          <w:sz w:val="24"/>
          <w:szCs w:val="24"/>
        </w:rPr>
        <w:t>Universidad Politécnica del Valle de Toluca</w:t>
      </w:r>
      <w:r w:rsidR="00775E57">
        <w:rPr>
          <w:rFonts w:ascii="Palatino Linotype" w:hAnsi="Palatino Linotype" w:cs="Arial"/>
          <w:b/>
          <w:sz w:val="24"/>
          <w:szCs w:val="24"/>
        </w:rPr>
        <w:t>,</w:t>
      </w:r>
      <w:r w:rsidRPr="00775E57">
        <w:rPr>
          <w:rFonts w:ascii="Palatino Linotype" w:hAnsi="Palatino Linotype" w:cs="Arial"/>
          <w:sz w:val="24"/>
          <w:szCs w:val="24"/>
        </w:rPr>
        <w:t xml:space="preserve"> procedimiento al que se le </w:t>
      </w:r>
      <w:r w:rsidR="004B6A69" w:rsidRPr="00775E57">
        <w:rPr>
          <w:rFonts w:ascii="Palatino Linotype" w:hAnsi="Palatino Linotype" w:cs="Arial"/>
          <w:sz w:val="24"/>
          <w:szCs w:val="24"/>
        </w:rPr>
        <w:t>asignó el número de expediente</w:t>
      </w:r>
      <w:r w:rsidR="00012CAF">
        <w:rPr>
          <w:rFonts w:ascii="Palatino Linotype" w:hAnsi="Palatino Linotype" w:cs="Arial"/>
          <w:sz w:val="24"/>
          <w:szCs w:val="24"/>
        </w:rPr>
        <w:t xml:space="preserve"> </w:t>
      </w:r>
      <w:r w:rsidR="00012CAF">
        <w:rPr>
          <w:rFonts w:ascii="Palatino Linotype" w:hAnsi="Palatino Linotype" w:cs="Arial"/>
          <w:b/>
          <w:sz w:val="24"/>
          <w:szCs w:val="24"/>
        </w:rPr>
        <w:t>02409/INFOEM/IP/RR/2018</w:t>
      </w:r>
      <w:r w:rsidRPr="00775E57">
        <w:rPr>
          <w:rFonts w:ascii="Palatino Linotype" w:hAnsi="Palatino Linotype" w:cs="Arial"/>
          <w:sz w:val="24"/>
          <w:szCs w:val="24"/>
        </w:rPr>
        <w:t>.</w:t>
      </w:r>
    </w:p>
    <w:p w:rsidR="00775E57" w:rsidRPr="00775E57" w:rsidRDefault="00775E57" w:rsidP="00351453">
      <w:pPr>
        <w:pStyle w:val="Prrafodelista"/>
        <w:spacing w:after="0" w:line="360" w:lineRule="auto"/>
        <w:ind w:left="0"/>
        <w:jc w:val="both"/>
        <w:rPr>
          <w:rFonts w:ascii="Palatino Linotype" w:hAnsi="Palatino Linotype" w:cs="Arial"/>
          <w:sz w:val="24"/>
          <w:szCs w:val="24"/>
        </w:rPr>
      </w:pPr>
    </w:p>
    <w:p w:rsidR="00220135" w:rsidRPr="00220135" w:rsidRDefault="00F86069" w:rsidP="00220135">
      <w:pPr>
        <w:pStyle w:val="Prrafodelista"/>
        <w:numPr>
          <w:ilvl w:val="0"/>
          <w:numId w:val="1"/>
        </w:numPr>
        <w:spacing w:before="240" w:after="240" w:line="360" w:lineRule="auto"/>
        <w:ind w:left="0" w:firstLine="0"/>
        <w:jc w:val="both"/>
        <w:rPr>
          <w:rFonts w:ascii="Palatino Linotype" w:hAnsi="Palatino Linotype" w:cs="Arial"/>
          <w:sz w:val="24"/>
          <w:szCs w:val="24"/>
          <w:lang w:val="es-ES"/>
        </w:rPr>
      </w:pPr>
      <w:r>
        <w:rPr>
          <w:rFonts w:ascii="Palatino Linotype" w:hAnsi="Palatino Linotype" w:cs="Arial"/>
          <w:sz w:val="24"/>
          <w:szCs w:val="24"/>
        </w:rPr>
        <w:t>La resolución declara parcialmente fundados los motivos de</w:t>
      </w:r>
      <w:r w:rsidR="00220135">
        <w:rPr>
          <w:rFonts w:ascii="Palatino Linotype" w:hAnsi="Palatino Linotype" w:cs="Arial"/>
          <w:sz w:val="24"/>
          <w:szCs w:val="24"/>
        </w:rPr>
        <w:t xml:space="preserve"> inconformidad promovido</w:t>
      </w:r>
      <w:r w:rsidR="00814492">
        <w:rPr>
          <w:rFonts w:ascii="Palatino Linotype" w:hAnsi="Palatino Linotype" w:cs="Arial"/>
          <w:sz w:val="24"/>
          <w:szCs w:val="24"/>
        </w:rPr>
        <w:t>s</w:t>
      </w:r>
      <w:r w:rsidR="00220135">
        <w:rPr>
          <w:rFonts w:ascii="Palatino Linotype" w:hAnsi="Palatino Linotype" w:cs="Arial"/>
          <w:sz w:val="24"/>
          <w:szCs w:val="24"/>
        </w:rPr>
        <w:t xml:space="preserve">, modificando la respuesta del Sujeto Obligado y ordena entregue la información señalada en el resolutivo segundo de la resolución de mérito, ordenando así </w:t>
      </w:r>
      <w:r w:rsidR="00220135" w:rsidRPr="00220135">
        <w:rPr>
          <w:rFonts w:ascii="Palatino Linotype" w:hAnsi="Palatino Linotype" w:cs="Arial"/>
          <w:i/>
          <w:sz w:val="24"/>
          <w:szCs w:val="24"/>
        </w:rPr>
        <w:t>“</w:t>
      </w:r>
      <w:r w:rsidR="00220135" w:rsidRPr="00220135">
        <w:rPr>
          <w:rFonts w:ascii="Palatino Linotype" w:hAnsi="Palatino Linotype" w:cs="Arial"/>
          <w:i/>
          <w:sz w:val="24"/>
          <w:szCs w:val="24"/>
          <w:lang w:val="es-ES"/>
        </w:rPr>
        <w:t>el histórico del catorce de noviembre de dos mil seis al cinco de junio de dos mil dieciocho de sus equipos de cómputo y el lugar o posición de uso o asignación”</w:t>
      </w:r>
      <w:r w:rsidR="004B37BC">
        <w:rPr>
          <w:rFonts w:ascii="Palatino Linotype" w:hAnsi="Palatino Linotype" w:cs="Arial"/>
          <w:i/>
          <w:sz w:val="24"/>
          <w:szCs w:val="24"/>
          <w:lang w:val="es-ES"/>
        </w:rPr>
        <w:t xml:space="preserve">, </w:t>
      </w:r>
      <w:r w:rsidR="004B37BC">
        <w:rPr>
          <w:rFonts w:ascii="Palatino Linotype" w:hAnsi="Palatino Linotype" w:cs="Arial"/>
          <w:sz w:val="24"/>
          <w:szCs w:val="24"/>
          <w:lang w:val="es-ES"/>
        </w:rPr>
        <w:t>c</w:t>
      </w:r>
      <w:r w:rsidR="00814492" w:rsidRPr="00814492">
        <w:rPr>
          <w:rFonts w:ascii="Palatino Linotype" w:hAnsi="Palatino Linotype" w:cs="Arial"/>
          <w:sz w:val="24"/>
          <w:szCs w:val="24"/>
          <w:lang w:val="es-ES"/>
        </w:rPr>
        <w:t>omparto el sentido de la resolución</w:t>
      </w:r>
      <w:r w:rsidR="00814492">
        <w:rPr>
          <w:rFonts w:ascii="Palatino Linotype" w:hAnsi="Palatino Linotype" w:cs="Arial"/>
          <w:i/>
          <w:sz w:val="24"/>
          <w:szCs w:val="24"/>
          <w:lang w:val="es-ES"/>
        </w:rPr>
        <w:t xml:space="preserve">, </w:t>
      </w:r>
      <w:r w:rsidR="00814492">
        <w:rPr>
          <w:rFonts w:ascii="Palatino Linotype" w:hAnsi="Palatino Linotype" w:cs="Arial"/>
          <w:sz w:val="24"/>
          <w:szCs w:val="24"/>
          <w:lang w:val="es-ES"/>
        </w:rPr>
        <w:t>sin embargo,</w:t>
      </w:r>
      <w:r w:rsidR="00814492">
        <w:rPr>
          <w:rFonts w:ascii="Palatino Linotype" w:hAnsi="Palatino Linotype" w:cs="Arial"/>
          <w:i/>
          <w:sz w:val="24"/>
          <w:szCs w:val="24"/>
          <w:lang w:val="es-ES"/>
        </w:rPr>
        <w:t xml:space="preserve"> </w:t>
      </w:r>
      <w:r w:rsidR="00814492">
        <w:rPr>
          <w:rFonts w:ascii="Palatino Linotype" w:hAnsi="Palatino Linotype" w:cs="Arial"/>
          <w:sz w:val="24"/>
          <w:szCs w:val="24"/>
          <w:lang w:val="es-ES"/>
        </w:rPr>
        <w:t>s</w:t>
      </w:r>
      <w:r w:rsidR="00220135">
        <w:rPr>
          <w:rFonts w:ascii="Palatino Linotype" w:hAnsi="Palatino Linotype" w:cs="Arial"/>
          <w:sz w:val="24"/>
          <w:szCs w:val="24"/>
          <w:lang w:val="es-ES"/>
        </w:rPr>
        <w:t xml:space="preserve">obre dicho resolutivo es que me aparto del resto de mis compañeros comisionados integrantes del pleno, ya que si bien se está ordenando hacer entrega de la información solicitada, resulta imprecisa la forma en que se ordena la misma. </w:t>
      </w:r>
    </w:p>
    <w:p w:rsidR="00627CAE" w:rsidRPr="00814492" w:rsidRDefault="00627CAE" w:rsidP="00814492">
      <w:pPr>
        <w:pStyle w:val="Prrafodelista"/>
        <w:spacing w:before="240" w:after="240" w:line="360" w:lineRule="auto"/>
        <w:ind w:left="0"/>
        <w:jc w:val="both"/>
        <w:rPr>
          <w:rFonts w:ascii="Palatino Linotype" w:hAnsi="Palatino Linotype" w:cs="Arial"/>
          <w:sz w:val="24"/>
          <w:szCs w:val="24"/>
        </w:rPr>
      </w:pPr>
    </w:p>
    <w:p w:rsidR="00627CAE" w:rsidRDefault="00627CAE" w:rsidP="00351453">
      <w:pPr>
        <w:pStyle w:val="Prrafodelista"/>
        <w:numPr>
          <w:ilvl w:val="0"/>
          <w:numId w:val="1"/>
        </w:numPr>
        <w:spacing w:before="240" w:after="24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51453">
      <w:pPr>
        <w:pStyle w:val="Prrafodelista"/>
        <w:ind w:left="0"/>
        <w:rPr>
          <w:rFonts w:ascii="Palatino Linotype" w:hAnsi="Palatino Linotype" w:cs="Arial"/>
          <w:sz w:val="24"/>
          <w:szCs w:val="24"/>
        </w:rPr>
      </w:pPr>
    </w:p>
    <w:p w:rsidR="00441196" w:rsidRDefault="00441196" w:rsidP="00B50675">
      <w:pPr>
        <w:pStyle w:val="Ttulo1"/>
        <w:numPr>
          <w:ilvl w:val="0"/>
          <w:numId w:val="16"/>
        </w:numPr>
        <w:ind w:left="567" w:hanging="567"/>
        <w:rPr>
          <w:rFonts w:ascii="Palatino Linotype" w:hAnsi="Palatino Linotype"/>
          <w:b/>
          <w:color w:val="auto"/>
          <w:sz w:val="24"/>
        </w:rPr>
      </w:pPr>
      <w:bookmarkStart w:id="2" w:name="_Toc523746021"/>
      <w:r>
        <w:rPr>
          <w:rFonts w:ascii="Palatino Linotype" w:hAnsi="Palatino Linotype"/>
          <w:b/>
          <w:color w:val="auto"/>
          <w:sz w:val="24"/>
        </w:rPr>
        <w:t>De los requerimientos planteados en el recurso de revisión.</w:t>
      </w:r>
      <w:bookmarkEnd w:id="2"/>
    </w:p>
    <w:p w:rsidR="00441196" w:rsidRDefault="00441196" w:rsidP="00441196"/>
    <w:p w:rsidR="00441196" w:rsidRPr="006B001E" w:rsidRDefault="00441196" w:rsidP="00441196">
      <w:pPr>
        <w:pStyle w:val="Prrafodelista"/>
        <w:numPr>
          <w:ilvl w:val="0"/>
          <w:numId w:val="1"/>
        </w:numPr>
        <w:ind w:left="0" w:firstLine="0"/>
      </w:pPr>
      <w:r>
        <w:rPr>
          <w:rFonts w:ascii="Palatino Linotype" w:hAnsi="Palatino Linotype"/>
          <w:sz w:val="24"/>
          <w:szCs w:val="24"/>
        </w:rPr>
        <w:t xml:space="preserve">El particular requirió de la </w:t>
      </w:r>
      <w:r>
        <w:rPr>
          <w:rFonts w:ascii="Palatino Linotype" w:hAnsi="Palatino Linotype"/>
          <w:b/>
          <w:sz w:val="24"/>
          <w:szCs w:val="24"/>
        </w:rPr>
        <w:t xml:space="preserve">Universidad Politécnica del Valle de Toluca </w:t>
      </w:r>
      <w:r>
        <w:rPr>
          <w:rFonts w:ascii="Palatino Linotype" w:hAnsi="Palatino Linotype"/>
          <w:sz w:val="24"/>
          <w:szCs w:val="24"/>
        </w:rPr>
        <w:t xml:space="preserve">lo siguiente: </w:t>
      </w:r>
    </w:p>
    <w:p w:rsidR="006B001E" w:rsidRPr="00DA674B" w:rsidRDefault="006B001E" w:rsidP="006B001E">
      <w:pPr>
        <w:pStyle w:val="Prrafodelista"/>
        <w:ind w:left="0"/>
      </w:pPr>
    </w:p>
    <w:p w:rsidR="00DA674B" w:rsidRPr="00DA674B" w:rsidRDefault="00DA674B" w:rsidP="00DA674B">
      <w:pPr>
        <w:pStyle w:val="Prrafodelista"/>
        <w:ind w:left="0"/>
      </w:pPr>
    </w:p>
    <w:p w:rsidR="00DA674B" w:rsidRDefault="00DA674B" w:rsidP="00DA674B">
      <w:pPr>
        <w:pStyle w:val="Prrafodelista"/>
        <w:spacing w:line="360" w:lineRule="auto"/>
        <w:ind w:left="567" w:right="616"/>
        <w:jc w:val="both"/>
        <w:rPr>
          <w:rFonts w:ascii="Palatino Linotype" w:hAnsi="Palatino Linotype"/>
          <w:i/>
        </w:rPr>
      </w:pPr>
      <w:r w:rsidRPr="00DA674B">
        <w:rPr>
          <w:rFonts w:ascii="Palatino Linotype" w:hAnsi="Palatino Linotype"/>
          <w:i/>
        </w:rPr>
        <w:t xml:space="preserve">“Histórico del equipo de </w:t>
      </w:r>
      <w:proofErr w:type="spellStart"/>
      <w:r w:rsidRPr="00DA674B">
        <w:rPr>
          <w:rFonts w:ascii="Palatino Linotype" w:hAnsi="Palatino Linotype"/>
          <w:i/>
        </w:rPr>
        <w:t>computo</w:t>
      </w:r>
      <w:proofErr w:type="spellEnd"/>
      <w:r w:rsidRPr="00DA674B">
        <w:rPr>
          <w:rFonts w:ascii="Palatino Linotype" w:hAnsi="Palatino Linotype"/>
          <w:i/>
        </w:rPr>
        <w:t xml:space="preserve"> existente en la universidad, </w:t>
      </w:r>
      <w:proofErr w:type="spellStart"/>
      <w:r w:rsidRPr="00DA674B">
        <w:rPr>
          <w:rFonts w:ascii="Palatino Linotype" w:hAnsi="Palatino Linotype"/>
          <w:i/>
        </w:rPr>
        <w:t>indocando</w:t>
      </w:r>
      <w:proofErr w:type="spellEnd"/>
      <w:r w:rsidRPr="00DA674B">
        <w:rPr>
          <w:rFonts w:ascii="Palatino Linotype" w:hAnsi="Palatino Linotype"/>
          <w:i/>
        </w:rPr>
        <w:t xml:space="preserve"> las posiciones de uso de cada equipo, sin omitir nada de información”</w:t>
      </w:r>
    </w:p>
    <w:p w:rsidR="00DA674B" w:rsidRPr="00DA674B" w:rsidRDefault="00DA674B" w:rsidP="00DA674B">
      <w:pPr>
        <w:ind w:right="616"/>
        <w:jc w:val="both"/>
        <w:rPr>
          <w:rFonts w:ascii="Palatino Linotype" w:hAnsi="Palatino Linotype"/>
          <w:i/>
        </w:rPr>
      </w:pPr>
    </w:p>
    <w:p w:rsidR="00DA674B" w:rsidRPr="00DA674B" w:rsidRDefault="00DA674B" w:rsidP="00441196">
      <w:pPr>
        <w:pStyle w:val="Prrafodelista"/>
        <w:numPr>
          <w:ilvl w:val="0"/>
          <w:numId w:val="1"/>
        </w:numPr>
        <w:ind w:left="0" w:firstLine="0"/>
      </w:pPr>
      <w:r>
        <w:rPr>
          <w:rFonts w:ascii="Palatino Linotype" w:hAnsi="Palatino Linotype"/>
          <w:sz w:val="24"/>
        </w:rPr>
        <w:t xml:space="preserve">El Sujeto Obligado mediante su escrito dio respuesta a la solicitud de información, de la siguiente manera: </w:t>
      </w:r>
    </w:p>
    <w:p w:rsidR="00DA674B" w:rsidRDefault="00DA674B" w:rsidP="00DA674B">
      <w:pPr>
        <w:pStyle w:val="Prrafodelista"/>
        <w:ind w:left="0"/>
      </w:pPr>
    </w:p>
    <w:p w:rsidR="006B001E" w:rsidRPr="00DA674B" w:rsidRDefault="006B001E" w:rsidP="00DA674B">
      <w:pPr>
        <w:pStyle w:val="Prrafodelista"/>
        <w:ind w:left="0"/>
      </w:pPr>
    </w:p>
    <w:p w:rsidR="00DA674B" w:rsidRPr="00DA674B" w:rsidRDefault="00DA674B" w:rsidP="00DA674B">
      <w:pPr>
        <w:pStyle w:val="Prrafodelista"/>
        <w:spacing w:line="360" w:lineRule="auto"/>
        <w:ind w:left="567" w:right="616"/>
        <w:jc w:val="both"/>
        <w:rPr>
          <w:rFonts w:ascii="Palatino Linotype" w:hAnsi="Palatino Linotype"/>
          <w:i/>
        </w:rPr>
      </w:pPr>
      <w:r>
        <w:rPr>
          <w:rFonts w:ascii="Palatino Linotype" w:hAnsi="Palatino Linotype"/>
          <w:i/>
        </w:rPr>
        <w:t>“</w:t>
      </w:r>
      <w:r w:rsidRPr="00DA674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A674B" w:rsidRPr="00DA674B" w:rsidRDefault="00DA674B" w:rsidP="00DA674B">
      <w:pPr>
        <w:pStyle w:val="Prrafodelista"/>
        <w:spacing w:line="360" w:lineRule="auto"/>
        <w:ind w:left="567" w:right="616"/>
        <w:jc w:val="both"/>
        <w:rPr>
          <w:rFonts w:ascii="Palatino Linotype" w:hAnsi="Palatino Linotype"/>
          <w:i/>
        </w:rPr>
      </w:pPr>
      <w:r w:rsidRPr="00DA674B">
        <w:rPr>
          <w:rFonts w:ascii="Palatino Linotype" w:hAnsi="Palatino Linotype"/>
          <w:i/>
        </w:rPr>
        <w:t xml:space="preserve">En atención a la solicitud de información pública registrada con el </w:t>
      </w:r>
      <w:proofErr w:type="spellStart"/>
      <w:r w:rsidRPr="00DA674B">
        <w:rPr>
          <w:rFonts w:ascii="Palatino Linotype" w:hAnsi="Palatino Linotype"/>
          <w:i/>
        </w:rPr>
        <w:t>numero</w:t>
      </w:r>
      <w:proofErr w:type="spellEnd"/>
      <w:r w:rsidRPr="00DA674B">
        <w:rPr>
          <w:rFonts w:ascii="Palatino Linotype" w:hAnsi="Palatino Linotype"/>
          <w:i/>
        </w:rPr>
        <w:t xml:space="preserve"> de folio 00430/UPVT/IP/2018 que realizó el 5 de junio del año en curso, sírvase encontrar en archivo adjunto copia digitalizada en formato </w:t>
      </w:r>
      <w:proofErr w:type="spellStart"/>
      <w:r w:rsidRPr="00DA674B">
        <w:rPr>
          <w:rFonts w:ascii="Palatino Linotype" w:hAnsi="Palatino Linotype"/>
          <w:i/>
        </w:rPr>
        <w:t>pdf</w:t>
      </w:r>
      <w:proofErr w:type="spellEnd"/>
      <w:r w:rsidRPr="00DA674B">
        <w:rPr>
          <w:rFonts w:ascii="Palatino Linotype" w:hAnsi="Palatino Linotype"/>
          <w:i/>
        </w:rPr>
        <w:t xml:space="preserve"> del oficio emitido por el Servidor Público Habilitado del Departamento de Tecnologías de la Información, en el cual se detalla lo referente a su solicitud de información. Se hace de su conocimiento el término </w:t>
      </w:r>
      <w:r w:rsidRPr="00DA674B">
        <w:rPr>
          <w:rFonts w:ascii="Palatino Linotype" w:hAnsi="Palatino Linotype"/>
          <w:i/>
        </w:rPr>
        <w:lastRenderedPageBreak/>
        <w:t>de quince días para interponer el recurso de revisión que se señala en los artículos 176,177 y 178 de la Ley de la materia, en caso de considerar que la respuesta es desfavorable a su solicitud.</w:t>
      </w:r>
    </w:p>
    <w:p w:rsidR="00DA674B" w:rsidRPr="00DA674B" w:rsidRDefault="00DA674B" w:rsidP="00DA674B">
      <w:pPr>
        <w:pStyle w:val="Prrafodelista"/>
        <w:spacing w:line="360" w:lineRule="auto"/>
        <w:ind w:left="567" w:right="616"/>
        <w:jc w:val="both"/>
        <w:rPr>
          <w:rFonts w:ascii="Palatino Linotype" w:hAnsi="Palatino Linotype"/>
          <w:i/>
        </w:rPr>
      </w:pPr>
      <w:r w:rsidRPr="00DA674B">
        <w:rPr>
          <w:rFonts w:ascii="Palatino Linotype" w:hAnsi="Palatino Linotype"/>
          <w:i/>
        </w:rPr>
        <w:t>ATENTAMENTE</w:t>
      </w:r>
    </w:p>
    <w:p w:rsidR="00DA674B" w:rsidRDefault="00DA674B" w:rsidP="00DA674B">
      <w:pPr>
        <w:pStyle w:val="Prrafodelista"/>
        <w:spacing w:line="360" w:lineRule="auto"/>
        <w:ind w:left="567" w:right="616"/>
        <w:jc w:val="both"/>
        <w:rPr>
          <w:rFonts w:ascii="Palatino Linotype" w:hAnsi="Palatino Linotype"/>
          <w:i/>
        </w:rPr>
      </w:pPr>
      <w:r w:rsidRPr="00DA674B">
        <w:rPr>
          <w:rFonts w:ascii="Palatino Linotype" w:hAnsi="Palatino Linotype"/>
          <w:i/>
        </w:rPr>
        <w:t>LIC. GABRIELA AVILES OLIVARES</w:t>
      </w:r>
      <w:r>
        <w:rPr>
          <w:rFonts w:ascii="Palatino Linotype" w:hAnsi="Palatino Linotype"/>
          <w:i/>
        </w:rPr>
        <w:t>”</w:t>
      </w:r>
    </w:p>
    <w:p w:rsidR="00DA674B" w:rsidRDefault="00DA674B" w:rsidP="00DA674B">
      <w:pPr>
        <w:pStyle w:val="Prrafodelista"/>
        <w:spacing w:line="360" w:lineRule="auto"/>
        <w:ind w:left="567" w:right="616"/>
        <w:jc w:val="both"/>
        <w:rPr>
          <w:rFonts w:ascii="Palatino Linotype" w:hAnsi="Palatino Linotype"/>
          <w:i/>
        </w:rPr>
      </w:pPr>
    </w:p>
    <w:p w:rsidR="00DA674B" w:rsidRDefault="00DA674B" w:rsidP="00D23CD6">
      <w:pPr>
        <w:pStyle w:val="Prrafodelista"/>
        <w:numPr>
          <w:ilvl w:val="0"/>
          <w:numId w:val="24"/>
        </w:numPr>
        <w:spacing w:line="360" w:lineRule="auto"/>
        <w:ind w:left="0" w:right="616" w:firstLine="0"/>
        <w:jc w:val="both"/>
        <w:rPr>
          <w:rFonts w:ascii="Palatino Linotype" w:hAnsi="Palatino Linotype"/>
          <w:b/>
          <w:sz w:val="24"/>
        </w:rPr>
      </w:pPr>
      <w:r>
        <w:rPr>
          <w:rFonts w:ascii="Palatino Linotype" w:hAnsi="Palatino Linotype"/>
          <w:sz w:val="24"/>
        </w:rPr>
        <w:t xml:space="preserve">A dicha respuesta se anexaron los archivos electrónicos </w:t>
      </w:r>
      <w:r w:rsidRPr="00DA674B">
        <w:rPr>
          <w:rFonts w:ascii="Palatino Linotype" w:hAnsi="Palatino Linotype"/>
          <w:b/>
          <w:sz w:val="24"/>
        </w:rPr>
        <w:t>HITORICO EQUIPO DE COMPUTO.PDF, HISTORICO EQUIPO DE COMPUTO SAIMEX.pdf y OFICIO DE RESPUESTA SOLICITUD 00430.pdf</w:t>
      </w:r>
      <w:r>
        <w:rPr>
          <w:rFonts w:ascii="Palatino Linotype" w:hAnsi="Palatino Linotype"/>
          <w:b/>
          <w:sz w:val="24"/>
        </w:rPr>
        <w:t xml:space="preserve">. </w:t>
      </w:r>
    </w:p>
    <w:p w:rsidR="00D23CD6" w:rsidRDefault="00D23CD6" w:rsidP="00D23CD6">
      <w:pPr>
        <w:pStyle w:val="Prrafodelista"/>
        <w:spacing w:line="360" w:lineRule="auto"/>
        <w:ind w:left="0" w:right="616"/>
        <w:jc w:val="both"/>
        <w:rPr>
          <w:rFonts w:ascii="Palatino Linotype" w:hAnsi="Palatino Linotype"/>
          <w:b/>
          <w:sz w:val="24"/>
        </w:rPr>
      </w:pPr>
    </w:p>
    <w:p w:rsidR="00D23CD6" w:rsidRDefault="006E1AA2" w:rsidP="00D23CD6">
      <w:pPr>
        <w:spacing w:line="360" w:lineRule="auto"/>
        <w:ind w:left="284" w:right="616"/>
        <w:jc w:val="both"/>
        <w:rPr>
          <w:rFonts w:ascii="Palatino Linotype" w:eastAsia="MS Mincho" w:hAnsi="Palatino Linotype" w:cs="Times New Roman"/>
          <w:sz w:val="24"/>
          <w:lang w:val="es-ES_tradnl" w:eastAsia="es-ES"/>
        </w:rPr>
      </w:pPr>
      <w:r>
        <w:rPr>
          <w:rFonts w:ascii="Palatino Linotype" w:hAnsi="Palatino Linotype"/>
          <w:b/>
          <w:sz w:val="24"/>
        </w:rPr>
        <w:t xml:space="preserve"> </w:t>
      </w:r>
      <w:r w:rsidR="00DA674B" w:rsidRPr="00DA674B">
        <w:rPr>
          <w:rFonts w:ascii="Palatino Linotype" w:hAnsi="Palatino Linotype"/>
          <w:b/>
          <w:sz w:val="24"/>
        </w:rPr>
        <w:t>HITORICO EQUIPO DE COMPUTO.PDF</w:t>
      </w:r>
      <w:r w:rsidR="00DA674B">
        <w:rPr>
          <w:rFonts w:ascii="Palatino Linotype" w:hAnsi="Palatino Linotype"/>
          <w:b/>
          <w:sz w:val="24"/>
        </w:rPr>
        <w:t xml:space="preserve">: </w:t>
      </w:r>
      <w:r w:rsidRPr="006E1AA2">
        <w:rPr>
          <w:rFonts w:ascii="Palatino Linotype" w:eastAsia="MS Mincho" w:hAnsi="Palatino Linotype" w:cs="Times New Roman"/>
          <w:sz w:val="24"/>
          <w:lang w:val="es-ES_tradnl" w:eastAsia="es-ES"/>
        </w:rPr>
        <w:t xml:space="preserve">Documento electrónico que en una (01) hoja contiene, el oficio </w:t>
      </w:r>
      <w:r>
        <w:rPr>
          <w:rFonts w:ascii="Palatino Linotype" w:eastAsia="MS Mincho" w:hAnsi="Palatino Linotype" w:cs="Times New Roman"/>
          <w:sz w:val="24"/>
          <w:lang w:val="es-ES_tradnl" w:eastAsia="es-ES"/>
        </w:rPr>
        <w:t>205BL10102/0103/2018</w:t>
      </w:r>
      <w:r w:rsidRPr="006E1AA2">
        <w:rPr>
          <w:rFonts w:ascii="Palatino Linotype" w:eastAsia="MS Mincho" w:hAnsi="Palatino Linotype" w:cs="Times New Roman"/>
          <w:sz w:val="24"/>
          <w:lang w:val="es-ES_tradnl" w:eastAsia="es-ES"/>
        </w:rPr>
        <w:t xml:space="preserve"> </w:t>
      </w:r>
      <w:r>
        <w:rPr>
          <w:rFonts w:ascii="Palatino Linotype" w:eastAsia="MS Mincho" w:hAnsi="Palatino Linotype" w:cs="Times New Roman"/>
          <w:sz w:val="24"/>
          <w:lang w:val="es-ES_tradnl" w:eastAsia="es-ES"/>
        </w:rPr>
        <w:t>de veintiséis (26</w:t>
      </w:r>
      <w:r w:rsidRPr="006E1AA2">
        <w:rPr>
          <w:rFonts w:ascii="Palatino Linotype" w:eastAsia="MS Mincho" w:hAnsi="Palatino Linotype" w:cs="Times New Roman"/>
          <w:sz w:val="24"/>
          <w:lang w:val="es-ES_tradnl" w:eastAsia="es-ES"/>
        </w:rPr>
        <w:t>) de junio de d</w:t>
      </w:r>
      <w:r>
        <w:rPr>
          <w:rFonts w:ascii="Palatino Linotype" w:eastAsia="MS Mincho" w:hAnsi="Palatino Linotype" w:cs="Times New Roman"/>
          <w:sz w:val="24"/>
          <w:lang w:val="es-ES_tradnl" w:eastAsia="es-ES"/>
        </w:rPr>
        <w:t>os mil dieciocho, signado por el Jefe de Departamento de Tecnologías de la Información</w:t>
      </w:r>
      <w:r w:rsidRPr="006E1AA2">
        <w:rPr>
          <w:rFonts w:ascii="Palatino Linotype" w:eastAsia="MS Mincho" w:hAnsi="Palatino Linotype" w:cs="Times New Roman"/>
          <w:sz w:val="24"/>
          <w:lang w:val="es-ES_tradnl" w:eastAsia="es-ES"/>
        </w:rPr>
        <w:t xml:space="preserve">, dirigido a la Titular de la Unidad de Trasparencia mediante el cual se da respuesta a la solicitud de información en comento, manifestando que derivado de la solicitud se </w:t>
      </w:r>
      <w:r>
        <w:rPr>
          <w:rFonts w:ascii="Palatino Linotype" w:eastAsia="MS Mincho" w:hAnsi="Palatino Linotype" w:cs="Times New Roman"/>
          <w:sz w:val="24"/>
          <w:lang w:val="es-ES_tradnl" w:eastAsia="es-ES"/>
        </w:rPr>
        <w:t xml:space="preserve">atiende de manera puntual la solicitud, de conformidad con el anexo. </w:t>
      </w:r>
    </w:p>
    <w:p w:rsidR="00D23CD6" w:rsidRDefault="006E1AA2" w:rsidP="00D23CD6">
      <w:pPr>
        <w:spacing w:line="360" w:lineRule="auto"/>
        <w:ind w:left="284" w:right="616"/>
        <w:jc w:val="both"/>
        <w:rPr>
          <w:rFonts w:ascii="Palatino Linotype" w:eastAsia="MS Mincho" w:hAnsi="Palatino Linotype" w:cs="Times New Roman"/>
          <w:sz w:val="24"/>
          <w:lang w:val="es-ES_tradnl" w:eastAsia="es-ES"/>
        </w:rPr>
      </w:pPr>
      <w:r w:rsidRPr="00DA674B">
        <w:rPr>
          <w:rFonts w:ascii="Palatino Linotype" w:hAnsi="Palatino Linotype"/>
          <w:b/>
          <w:sz w:val="24"/>
        </w:rPr>
        <w:t xml:space="preserve">HISTORICO EQUIPO DE </w:t>
      </w:r>
      <w:proofErr w:type="gramStart"/>
      <w:r w:rsidRPr="00DA674B">
        <w:rPr>
          <w:rFonts w:ascii="Palatino Linotype" w:hAnsi="Palatino Linotype"/>
          <w:b/>
          <w:sz w:val="24"/>
        </w:rPr>
        <w:t>COMPUTO</w:t>
      </w:r>
      <w:proofErr w:type="gramEnd"/>
      <w:r w:rsidRPr="00DA674B">
        <w:rPr>
          <w:rFonts w:ascii="Palatino Linotype" w:hAnsi="Palatino Linotype"/>
          <w:b/>
          <w:sz w:val="24"/>
        </w:rPr>
        <w:t xml:space="preserve"> SAIMEX.pdf</w:t>
      </w:r>
      <w:r>
        <w:rPr>
          <w:rFonts w:ascii="Palatino Linotype" w:hAnsi="Palatino Linotype"/>
          <w:b/>
          <w:sz w:val="24"/>
        </w:rPr>
        <w:t>:</w:t>
      </w:r>
      <w:r w:rsidR="00D23CD6">
        <w:rPr>
          <w:rFonts w:ascii="Palatino Linotype" w:hAnsi="Palatino Linotype"/>
          <w:b/>
          <w:sz w:val="24"/>
        </w:rPr>
        <w:t xml:space="preserve"> </w:t>
      </w:r>
      <w:r w:rsidR="00D23CD6" w:rsidRPr="00D23CD6">
        <w:rPr>
          <w:rFonts w:ascii="Palatino Linotype" w:eastAsia="MS Mincho" w:hAnsi="Palatino Linotype" w:cs="Times New Roman"/>
          <w:sz w:val="24"/>
          <w:lang w:val="es-ES_tradnl" w:eastAsia="es-ES"/>
        </w:rPr>
        <w:t>Do</w:t>
      </w:r>
      <w:r w:rsidR="00D23CD6">
        <w:rPr>
          <w:rFonts w:ascii="Palatino Linotype" w:eastAsia="MS Mincho" w:hAnsi="Palatino Linotype" w:cs="Times New Roman"/>
          <w:sz w:val="24"/>
          <w:lang w:val="es-ES_tradnl" w:eastAsia="es-ES"/>
        </w:rPr>
        <w:t>cumento electrónico que en veintitrés (23</w:t>
      </w:r>
      <w:r w:rsidR="00D23CD6" w:rsidRPr="00D23CD6">
        <w:rPr>
          <w:rFonts w:ascii="Palatino Linotype" w:eastAsia="MS Mincho" w:hAnsi="Palatino Linotype" w:cs="Times New Roman"/>
          <w:sz w:val="24"/>
          <w:lang w:val="es-ES_tradnl" w:eastAsia="es-ES"/>
        </w:rPr>
        <w:t>) h</w:t>
      </w:r>
      <w:r w:rsidR="00D23CD6">
        <w:rPr>
          <w:rFonts w:ascii="Palatino Linotype" w:eastAsia="MS Mincho" w:hAnsi="Palatino Linotype" w:cs="Times New Roman"/>
          <w:sz w:val="24"/>
          <w:lang w:val="es-ES_tradnl" w:eastAsia="es-ES"/>
        </w:rPr>
        <w:t>ojas contiene, diversas tablas las cuales refieren el nombre de las áreas administrativas, el bien informático y el modelo</w:t>
      </w:r>
      <w:r w:rsidR="00D23CD6" w:rsidRPr="00D23CD6">
        <w:rPr>
          <w:rFonts w:ascii="Palatino Linotype" w:eastAsia="MS Mincho" w:hAnsi="Palatino Linotype" w:cs="Times New Roman"/>
          <w:sz w:val="24"/>
          <w:lang w:val="es-ES_tradnl" w:eastAsia="es-ES"/>
        </w:rPr>
        <w:t>.</w:t>
      </w:r>
    </w:p>
    <w:p w:rsidR="00DA674B" w:rsidRDefault="00DA674B" w:rsidP="004B37BC">
      <w:pPr>
        <w:spacing w:after="0" w:line="360" w:lineRule="auto"/>
        <w:ind w:left="284" w:right="758"/>
        <w:jc w:val="both"/>
        <w:rPr>
          <w:rFonts w:ascii="Palatino Linotype" w:eastAsia="MS Mincho" w:hAnsi="Palatino Linotype" w:cs="Times New Roman"/>
          <w:sz w:val="24"/>
          <w:lang w:val="es-ES_tradnl" w:eastAsia="es-ES"/>
        </w:rPr>
      </w:pPr>
      <w:r w:rsidRPr="00D23CD6">
        <w:rPr>
          <w:rFonts w:ascii="Palatino Linotype" w:hAnsi="Palatino Linotype"/>
          <w:b/>
          <w:sz w:val="24"/>
        </w:rPr>
        <w:lastRenderedPageBreak/>
        <w:t>OFICIO DE RESPUESTA SOLICITUD 00430.pdf</w:t>
      </w:r>
      <w:r w:rsidR="00D23CD6" w:rsidRPr="00D23CD6">
        <w:rPr>
          <w:rFonts w:ascii="Palatino Linotype" w:hAnsi="Palatino Linotype"/>
          <w:b/>
          <w:sz w:val="24"/>
        </w:rPr>
        <w:t xml:space="preserve">: </w:t>
      </w:r>
      <w:r w:rsidR="00D23CD6" w:rsidRPr="00D23CD6">
        <w:rPr>
          <w:rFonts w:ascii="Palatino Linotype" w:eastAsia="MS Mincho" w:hAnsi="Palatino Linotype" w:cs="Times New Roman"/>
          <w:sz w:val="24"/>
          <w:lang w:val="es-ES_tradnl" w:eastAsia="es-ES"/>
        </w:rPr>
        <w:t xml:space="preserve">Documento electrónico que en una (01) hoja contiene, el oficio </w:t>
      </w:r>
      <w:r w:rsidR="00D23CD6">
        <w:rPr>
          <w:rFonts w:ascii="Palatino Linotype" w:eastAsia="MS Mincho" w:hAnsi="Palatino Linotype" w:cs="Times New Roman"/>
          <w:sz w:val="24"/>
          <w:lang w:val="es-ES_tradnl" w:eastAsia="es-ES"/>
        </w:rPr>
        <w:t>205BL16001/1274/2018</w:t>
      </w:r>
      <w:r w:rsidR="00D23CD6" w:rsidRPr="00D23CD6">
        <w:rPr>
          <w:rFonts w:ascii="Palatino Linotype" w:eastAsia="MS Mincho" w:hAnsi="Palatino Linotype" w:cs="Times New Roman"/>
          <w:sz w:val="24"/>
          <w:lang w:val="es-ES_tradnl" w:eastAsia="es-ES"/>
        </w:rPr>
        <w:t xml:space="preserve"> </w:t>
      </w:r>
      <w:r w:rsidR="00D23CD6">
        <w:rPr>
          <w:rFonts w:ascii="Palatino Linotype" w:eastAsia="MS Mincho" w:hAnsi="Palatino Linotype" w:cs="Times New Roman"/>
          <w:sz w:val="24"/>
          <w:lang w:val="es-ES_tradnl" w:eastAsia="es-ES"/>
        </w:rPr>
        <w:t>de veintiséis (26</w:t>
      </w:r>
      <w:r w:rsidR="00D23CD6" w:rsidRPr="00D23CD6">
        <w:rPr>
          <w:rFonts w:ascii="Palatino Linotype" w:eastAsia="MS Mincho" w:hAnsi="Palatino Linotype" w:cs="Times New Roman"/>
          <w:sz w:val="24"/>
          <w:lang w:val="es-ES_tradnl" w:eastAsia="es-ES"/>
        </w:rPr>
        <w:t xml:space="preserve">) de junio de dos mil dieciocho, signado por la Titular de la Unidad de Trasparencia mediante el cual se </w:t>
      </w:r>
      <w:r w:rsidR="00D23CD6">
        <w:rPr>
          <w:rFonts w:ascii="Palatino Linotype" w:eastAsia="MS Mincho" w:hAnsi="Palatino Linotype" w:cs="Times New Roman"/>
          <w:sz w:val="24"/>
          <w:lang w:val="es-ES_tradnl" w:eastAsia="es-ES"/>
        </w:rPr>
        <w:t>pone a disposición la información otorgada por el servidor público habilitado.</w:t>
      </w:r>
    </w:p>
    <w:p w:rsidR="004B37BC" w:rsidRPr="004B37BC" w:rsidRDefault="004B37BC" w:rsidP="004B37BC">
      <w:pPr>
        <w:spacing w:after="0" w:line="360" w:lineRule="auto"/>
        <w:ind w:left="284" w:right="758"/>
        <w:jc w:val="both"/>
        <w:rPr>
          <w:rFonts w:ascii="Palatino Linotype" w:eastAsia="MS Mincho" w:hAnsi="Palatino Linotype" w:cs="Times New Roman"/>
          <w:b/>
          <w:sz w:val="24"/>
          <w:lang w:val="es-ES_tradnl" w:eastAsia="es-ES"/>
        </w:rPr>
      </w:pPr>
    </w:p>
    <w:p w:rsidR="00D842E6" w:rsidRPr="00DA674B" w:rsidRDefault="00D842E6" w:rsidP="00DA674B">
      <w:pPr>
        <w:pStyle w:val="Prrafodelista"/>
        <w:ind w:left="0"/>
      </w:pPr>
    </w:p>
    <w:p w:rsidR="00DA674B" w:rsidRPr="00B05E1E" w:rsidRDefault="007C6997" w:rsidP="00B05E1E">
      <w:pPr>
        <w:pStyle w:val="Prrafodelista"/>
        <w:numPr>
          <w:ilvl w:val="0"/>
          <w:numId w:val="1"/>
        </w:numPr>
        <w:spacing w:after="0" w:line="360" w:lineRule="auto"/>
        <w:ind w:left="0" w:right="49" w:firstLine="0"/>
        <w:jc w:val="both"/>
      </w:pPr>
      <w:r>
        <w:rPr>
          <w:rFonts w:ascii="Palatino Linotype" w:hAnsi="Palatino Linotype" w:cs="Arial"/>
          <w:sz w:val="24"/>
          <w:szCs w:val="24"/>
        </w:rPr>
        <w:t>Derivado de lo anteriormente trascrito</w:t>
      </w:r>
      <w:r w:rsidR="00075EA6" w:rsidRPr="00B05E1E">
        <w:rPr>
          <w:rFonts w:ascii="Palatino Linotype" w:hAnsi="Palatino Linotype" w:cs="Arial"/>
          <w:sz w:val="24"/>
          <w:szCs w:val="24"/>
        </w:rPr>
        <w:t>,</w:t>
      </w:r>
      <w:r>
        <w:rPr>
          <w:rFonts w:ascii="Palatino Linotype" w:hAnsi="Palatino Linotype" w:cs="Arial"/>
          <w:sz w:val="24"/>
          <w:szCs w:val="24"/>
        </w:rPr>
        <w:t xml:space="preserve"> </w:t>
      </w:r>
      <w:r w:rsidR="005229B7">
        <w:rPr>
          <w:rFonts w:ascii="Palatino Linotype" w:hAnsi="Palatino Linotype" w:cs="Arial"/>
          <w:sz w:val="24"/>
          <w:szCs w:val="24"/>
        </w:rPr>
        <w:t xml:space="preserve">destaco </w:t>
      </w:r>
      <w:r w:rsidR="00075EA6" w:rsidRPr="00B05E1E">
        <w:rPr>
          <w:rFonts w:ascii="Palatino Linotype" w:hAnsi="Palatino Linotype" w:cs="Arial"/>
          <w:sz w:val="24"/>
          <w:szCs w:val="24"/>
        </w:rPr>
        <w:t>que el Sujeto Obligado atiende</w:t>
      </w:r>
      <w:r w:rsidR="00E776DB">
        <w:rPr>
          <w:rFonts w:ascii="Palatino Linotype" w:hAnsi="Palatino Linotype" w:cs="Arial"/>
          <w:sz w:val="24"/>
          <w:szCs w:val="24"/>
        </w:rPr>
        <w:t xml:space="preserve"> parcialmente la solicitud de información</w:t>
      </w:r>
      <w:r w:rsidR="00075EA6" w:rsidRPr="00B05E1E">
        <w:rPr>
          <w:rFonts w:ascii="Palatino Linotype" w:hAnsi="Palatino Linotype" w:cs="Arial"/>
          <w:sz w:val="24"/>
          <w:szCs w:val="24"/>
        </w:rPr>
        <w:t>, sin embargo, en el estudio de la resolución</w:t>
      </w:r>
      <w:r>
        <w:rPr>
          <w:rFonts w:ascii="Palatino Linotype" w:hAnsi="Palatino Linotype" w:cs="Arial"/>
          <w:sz w:val="24"/>
          <w:szCs w:val="24"/>
        </w:rPr>
        <w:t xml:space="preserve"> no se aprecia algún pronunciamiento </w:t>
      </w:r>
      <w:r w:rsidR="00B05E1E">
        <w:rPr>
          <w:rFonts w:ascii="Palatino Linotype" w:hAnsi="Palatino Linotype" w:cs="Arial"/>
          <w:sz w:val="24"/>
          <w:szCs w:val="24"/>
        </w:rPr>
        <w:t xml:space="preserve">sobre lo que la palabra histórico pretende establecer, es decir, </w:t>
      </w:r>
      <w:r>
        <w:rPr>
          <w:rFonts w:ascii="Palatino Linotype" w:hAnsi="Palatino Linotype" w:cs="Arial"/>
          <w:sz w:val="24"/>
          <w:szCs w:val="24"/>
        </w:rPr>
        <w:t>el pronunciamiento por parte del particular en cuanto a la pala</w:t>
      </w:r>
      <w:r w:rsidR="006B001E">
        <w:rPr>
          <w:rFonts w:ascii="Palatino Linotype" w:hAnsi="Palatino Linotype" w:cs="Arial"/>
          <w:sz w:val="24"/>
          <w:szCs w:val="24"/>
        </w:rPr>
        <w:t>bra histórico, a</w:t>
      </w:r>
      <w:r>
        <w:rPr>
          <w:rFonts w:ascii="Palatino Linotype" w:hAnsi="Palatino Linotype" w:cs="Arial"/>
          <w:sz w:val="24"/>
          <w:szCs w:val="24"/>
        </w:rPr>
        <w:t xml:space="preserve"> mi consideración requiera de un mayor estudio y acotamiento  </w:t>
      </w:r>
      <w:r w:rsidR="00B05E1E">
        <w:rPr>
          <w:rFonts w:ascii="Palatino Linotype" w:hAnsi="Palatino Linotype" w:cs="Arial"/>
          <w:sz w:val="24"/>
          <w:szCs w:val="24"/>
        </w:rPr>
        <w:t>ante la falta de certeza</w:t>
      </w:r>
      <w:r>
        <w:rPr>
          <w:rFonts w:ascii="Palatino Linotype" w:hAnsi="Palatino Linotype" w:cs="Arial"/>
          <w:sz w:val="24"/>
          <w:szCs w:val="24"/>
        </w:rPr>
        <w:t xml:space="preserve"> que</w:t>
      </w:r>
      <w:r w:rsidR="005229B7">
        <w:rPr>
          <w:rFonts w:ascii="Palatino Linotype" w:hAnsi="Palatino Linotype" w:cs="Arial"/>
          <w:sz w:val="24"/>
          <w:szCs w:val="24"/>
        </w:rPr>
        <w:t xml:space="preserve"> deriva de la misma, </w:t>
      </w:r>
      <w:r>
        <w:rPr>
          <w:rFonts w:ascii="Palatino Linotype" w:hAnsi="Palatino Linotype" w:cs="Arial"/>
          <w:sz w:val="24"/>
          <w:szCs w:val="24"/>
        </w:rPr>
        <w:t>lo anterior  en atención a que éste instituto como órgano garante, tiene el deber der vel</w:t>
      </w:r>
      <w:r w:rsidR="006B001E">
        <w:rPr>
          <w:rFonts w:ascii="Palatino Linotype" w:hAnsi="Palatino Linotype" w:cs="Arial"/>
          <w:sz w:val="24"/>
          <w:szCs w:val="24"/>
        </w:rPr>
        <w:t xml:space="preserve">ar por el cabal cumplimiento del derecho de acceso a la información pública. </w:t>
      </w:r>
    </w:p>
    <w:p w:rsidR="00B05E1E" w:rsidRPr="00B05E1E" w:rsidRDefault="00B05E1E" w:rsidP="00B05E1E">
      <w:pPr>
        <w:spacing w:after="0" w:line="360" w:lineRule="auto"/>
        <w:ind w:right="49"/>
        <w:jc w:val="both"/>
      </w:pPr>
    </w:p>
    <w:p w:rsidR="00B50675" w:rsidRPr="00B50675" w:rsidRDefault="00B50675" w:rsidP="00B50675">
      <w:pPr>
        <w:ind w:left="720"/>
        <w:contextualSpacing/>
        <w:rPr>
          <w:rFonts w:ascii="Palatino Linotype" w:hAnsi="Palatino Linotype" w:cs="Arial"/>
          <w:i/>
          <w:sz w:val="24"/>
          <w:szCs w:val="24"/>
        </w:rPr>
      </w:pPr>
    </w:p>
    <w:p w:rsidR="00B50675" w:rsidRPr="00B50675" w:rsidRDefault="00B50675" w:rsidP="00B50675">
      <w:pPr>
        <w:keepNext/>
        <w:keepLines/>
        <w:numPr>
          <w:ilvl w:val="0"/>
          <w:numId w:val="10"/>
        </w:numPr>
        <w:spacing w:before="40" w:after="0"/>
        <w:ind w:left="0" w:firstLine="0"/>
        <w:contextualSpacing/>
        <w:outlineLvl w:val="1"/>
        <w:rPr>
          <w:rFonts w:ascii="Palatino Linotype" w:eastAsiaTheme="majorEastAsia" w:hAnsi="Palatino Linotype" w:cs="Arial"/>
          <w:b/>
          <w:iCs/>
          <w:color w:val="000000" w:themeColor="text1"/>
          <w:sz w:val="24"/>
          <w:szCs w:val="24"/>
        </w:rPr>
      </w:pPr>
      <w:bookmarkStart w:id="3" w:name="_Toc499289482"/>
      <w:bookmarkStart w:id="4" w:name="_Toc521279010"/>
      <w:bookmarkStart w:id="5" w:name="_Toc523746022"/>
      <w:r w:rsidRPr="00B50675">
        <w:rPr>
          <w:rFonts w:ascii="Palatino Linotype" w:eastAsiaTheme="majorEastAsia" w:hAnsi="Palatino Linotype" w:cs="Arial"/>
          <w:b/>
          <w:iCs/>
          <w:color w:val="000000" w:themeColor="text1"/>
          <w:sz w:val="24"/>
          <w:szCs w:val="24"/>
        </w:rPr>
        <w:t>El derecho de acceso a la información pública.</w:t>
      </w:r>
      <w:bookmarkEnd w:id="3"/>
      <w:bookmarkEnd w:id="4"/>
      <w:bookmarkEnd w:id="5"/>
      <w:r w:rsidRPr="00B50675">
        <w:rPr>
          <w:rFonts w:ascii="Palatino Linotype" w:eastAsiaTheme="majorEastAsia" w:hAnsi="Palatino Linotype" w:cs="Arial"/>
          <w:b/>
          <w:iCs/>
          <w:color w:val="000000" w:themeColor="text1"/>
          <w:sz w:val="24"/>
          <w:szCs w:val="24"/>
        </w:rPr>
        <w:t xml:space="preserve"> </w:t>
      </w:r>
    </w:p>
    <w:p w:rsidR="00B50675" w:rsidRPr="00B50675" w:rsidRDefault="00B50675" w:rsidP="00B50675">
      <w:pPr>
        <w:keepNext/>
        <w:keepLines/>
        <w:spacing w:before="40" w:after="0"/>
        <w:ind w:left="1080"/>
        <w:contextualSpacing/>
        <w:outlineLvl w:val="1"/>
        <w:rPr>
          <w:rFonts w:ascii="Palatino Linotype" w:eastAsiaTheme="majorEastAsia" w:hAnsi="Palatino Linotype" w:cs="Arial"/>
          <w:b/>
          <w:iCs/>
          <w:color w:val="000000" w:themeColor="text1"/>
          <w:sz w:val="24"/>
          <w:szCs w:val="24"/>
        </w:rPr>
      </w:pPr>
    </w:p>
    <w:p w:rsidR="00B50675" w:rsidRPr="00B50675" w:rsidRDefault="00B50675" w:rsidP="00B50675">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rPr>
      </w:pPr>
      <w:r w:rsidRPr="00B50675">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w:t>
      </w:r>
      <w:r w:rsidRPr="00B50675">
        <w:rPr>
          <w:rFonts w:ascii="Palatino Linotype" w:hAnsi="Palatino Linotype" w:cs="Arial"/>
          <w:color w:val="000000" w:themeColor="text1"/>
          <w:sz w:val="24"/>
          <w:szCs w:val="24"/>
        </w:rPr>
        <w:lastRenderedPageBreak/>
        <w:t xml:space="preserve">se encuentra el derecho de acceso a la información pública reconocido </w:t>
      </w:r>
      <w:r w:rsidRPr="00B50675">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Constitución del Estado de México. Ya sea que entendamos a los derechos como realidades positivas que forman parte de </w:t>
      </w:r>
      <w:r w:rsidRPr="00B50675">
        <w:rPr>
          <w:rFonts w:ascii="Palatino Linotype" w:eastAsia="Calibri" w:hAnsi="Palatino Linotype" w:cs="Arial"/>
          <w:i/>
          <w:color w:val="000000" w:themeColor="text1"/>
          <w:sz w:val="24"/>
          <w:szCs w:val="24"/>
          <w:lang w:val="es-ES" w:eastAsia="es-ES"/>
        </w:rPr>
        <w:t>la esfera de lo indecidible que</w:t>
      </w:r>
      <w:r w:rsidRPr="00B50675">
        <w:rPr>
          <w:rFonts w:ascii="Palatino Linotype" w:eastAsia="Calibri" w:hAnsi="Palatino Linotype" w:cs="Arial"/>
          <w:color w:val="000000" w:themeColor="text1"/>
          <w:sz w:val="24"/>
          <w:szCs w:val="24"/>
          <w:lang w:val="es-ES" w:eastAsia="es-ES"/>
        </w:rPr>
        <w:t xml:space="preserve"> o de</w:t>
      </w:r>
      <w:r w:rsidRPr="00B50675">
        <w:rPr>
          <w:rFonts w:ascii="Palatino Linotype" w:eastAsia="Calibri" w:hAnsi="Palatino Linotype" w:cs="Arial"/>
          <w:i/>
          <w:color w:val="000000" w:themeColor="text1"/>
          <w:sz w:val="24"/>
          <w:szCs w:val="24"/>
          <w:lang w:val="es-ES" w:eastAsia="es-ES"/>
        </w:rPr>
        <w:t xml:space="preserve"> lo indecidible que no</w:t>
      </w:r>
      <w:r w:rsidRPr="00B50675">
        <w:rPr>
          <w:rFonts w:eastAsia="Calibri"/>
          <w:i/>
          <w:vertAlign w:val="superscript"/>
          <w:lang w:val="es-ES" w:eastAsia="es-ES"/>
        </w:rPr>
        <w:footnoteReference w:id="1"/>
      </w:r>
      <w:r w:rsidRPr="00B50675">
        <w:rPr>
          <w:rFonts w:ascii="Palatino Linotype" w:eastAsia="Calibri" w:hAnsi="Palatino Linotype" w:cs="Arial"/>
          <w:color w:val="000000" w:themeColor="text1"/>
          <w:sz w:val="24"/>
          <w:szCs w:val="24"/>
          <w:lang w:val="es-ES" w:eastAsia="es-ES"/>
        </w:rPr>
        <w:t xml:space="preserve"> o bien como principios que constituyen </w:t>
      </w:r>
      <w:r w:rsidRPr="00B50675">
        <w:rPr>
          <w:rFonts w:ascii="Palatino Linotype" w:eastAsia="Calibri" w:hAnsi="Palatino Linotype" w:cs="Arial"/>
          <w:i/>
          <w:color w:val="000000" w:themeColor="text1"/>
          <w:sz w:val="24"/>
          <w:szCs w:val="24"/>
          <w:lang w:val="es-ES" w:eastAsia="es-ES"/>
        </w:rPr>
        <w:t>mandatos de optimización</w:t>
      </w:r>
      <w:r w:rsidRPr="00B50675">
        <w:rPr>
          <w:rFonts w:ascii="Palatino Linotype" w:eastAsia="Calibri" w:hAnsi="Palatino Linotype" w:cs="Arial"/>
          <w:color w:val="000000" w:themeColor="text1"/>
          <w:sz w:val="24"/>
          <w:szCs w:val="24"/>
          <w:lang w:val="es-ES" w:eastAsia="es-ES"/>
        </w:rPr>
        <w:t>,</w:t>
      </w:r>
      <w:r w:rsidRPr="00B50675">
        <w:rPr>
          <w:rFonts w:eastAsia="Calibri"/>
          <w:vertAlign w:val="superscript"/>
          <w:lang w:val="es-ES" w:eastAsia="es-ES"/>
        </w:rPr>
        <w:footnoteReference w:id="2"/>
      </w:r>
      <w:r w:rsidRPr="00B50675">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B50675" w:rsidRPr="00B50675" w:rsidRDefault="00B50675" w:rsidP="005229B7">
      <w:pPr>
        <w:numPr>
          <w:ilvl w:val="0"/>
          <w:numId w:val="1"/>
        </w:numPr>
        <w:spacing w:before="240" w:after="0" w:line="360" w:lineRule="auto"/>
        <w:ind w:left="0" w:hanging="11"/>
        <w:contextualSpacing/>
        <w:jc w:val="both"/>
        <w:rPr>
          <w:rFonts w:ascii="Palatino Linotype" w:hAnsi="Palatino Linotype" w:cs="Arial"/>
          <w:color w:val="000000" w:themeColor="text1"/>
          <w:sz w:val="24"/>
          <w:szCs w:val="24"/>
        </w:rPr>
      </w:pPr>
      <w:r w:rsidRPr="00B50675">
        <w:rPr>
          <w:rFonts w:ascii="Palatino Linotype" w:eastAsia="Calibri" w:hAnsi="Palatino Linotype" w:cs="Arial"/>
          <w:color w:val="000000" w:themeColor="text1"/>
          <w:sz w:val="24"/>
          <w:szCs w:val="24"/>
          <w:lang w:val="es-ES" w:eastAsia="es-ES"/>
        </w:rPr>
        <w:t xml:space="preserve">En ese sentido es necesario referir la definición del Derecho de Acceso a la Información, siendo que es </w:t>
      </w:r>
      <w:r w:rsidRPr="00B50675">
        <w:rPr>
          <w:rFonts w:ascii="Palatino Linotype" w:eastAsia="Times New Roman" w:hAnsi="Palatino Linotype" w:cs="Arial"/>
          <w:sz w:val="24"/>
          <w:szCs w:val="24"/>
          <w:lang w:eastAsia="es-MX"/>
        </w:rPr>
        <w:t xml:space="preserve">la </w:t>
      </w:r>
      <w:r w:rsidRPr="00B50675">
        <w:rPr>
          <w:rFonts w:ascii="Palatino Linotype" w:eastAsia="MS Mincho" w:hAnsi="Palatino Linotype" w:cs="Times New Roman"/>
          <w:i/>
          <w:sz w:val="24"/>
          <w:szCs w:val="24"/>
        </w:rPr>
        <w:t>igualdad de oportunidades para recibir, buscar e impartir información</w:t>
      </w:r>
      <w:r w:rsidRPr="00B50675">
        <w:rPr>
          <w:rFonts w:ascii="Palatino Linotype" w:eastAsia="MS Mincho" w:hAnsi="Palatino Linotype" w:cs="Times New Roman"/>
          <w:i/>
          <w:sz w:val="24"/>
          <w:szCs w:val="24"/>
          <w:vertAlign w:val="superscript"/>
        </w:rPr>
        <w:footnoteReference w:id="3"/>
      </w:r>
      <w:r w:rsidRPr="00B50675">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50675">
        <w:rPr>
          <w:rFonts w:ascii="Palatino Linotype" w:eastAsia="MS Mincho" w:hAnsi="Palatino Linotype" w:cs="Times New Roman"/>
          <w:sz w:val="24"/>
          <w:szCs w:val="24"/>
          <w:vertAlign w:val="superscript"/>
        </w:rPr>
        <w:footnoteReference w:id="4"/>
      </w:r>
      <w:r w:rsidRPr="00B50675">
        <w:rPr>
          <w:rFonts w:ascii="Palatino Linotype" w:eastAsia="MS Mincho" w:hAnsi="Palatino Linotype" w:cs="Times New Roman"/>
          <w:i/>
          <w:sz w:val="24"/>
          <w:szCs w:val="24"/>
        </w:rPr>
        <w:t xml:space="preserve"> </w:t>
      </w:r>
      <w:r w:rsidRPr="00B50675">
        <w:rPr>
          <w:rFonts w:ascii="Palatino Linotype" w:eastAsia="MS Mincho" w:hAnsi="Palatino Linotype" w:cs="Times New Roman"/>
          <w:sz w:val="24"/>
          <w:szCs w:val="24"/>
        </w:rPr>
        <w:t xml:space="preserve">que </w:t>
      </w:r>
      <w:r w:rsidRPr="00B50675">
        <w:rPr>
          <w:rFonts w:ascii="Palatino Linotype" w:eastAsia="MS Mincho" w:hAnsi="Palatino Linotype" w:cs="Times New Roman"/>
          <w:sz w:val="24"/>
          <w:szCs w:val="24"/>
        </w:rPr>
        <w:lastRenderedPageBreak/>
        <w:t xml:space="preserve">se constituye como una herramienta fundamental para </w:t>
      </w:r>
      <w:r w:rsidRPr="00B50675">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B50675">
        <w:rPr>
          <w:rFonts w:ascii="Palatino Linotype" w:eastAsia="MS Mincho" w:hAnsi="Palatino Linotype" w:cs="Times New Roman"/>
          <w:i/>
          <w:sz w:val="24"/>
          <w:szCs w:val="24"/>
          <w:vertAlign w:val="superscript"/>
        </w:rPr>
        <w:footnoteReference w:id="5"/>
      </w:r>
      <w:r w:rsidRPr="00B50675">
        <w:rPr>
          <w:rFonts w:ascii="Palatino Linotype" w:eastAsia="MS Mincho" w:hAnsi="Palatino Linotype" w:cs="Times New Roman"/>
          <w:sz w:val="24"/>
          <w:szCs w:val="24"/>
        </w:rPr>
        <w:t>fomentando</w:t>
      </w:r>
      <w:r w:rsidRPr="00B50675">
        <w:rPr>
          <w:rFonts w:ascii="Palatino Linotype" w:eastAsia="MS Mincho" w:hAnsi="Palatino Linotype" w:cs="Times New Roman"/>
          <w:i/>
          <w:sz w:val="24"/>
          <w:szCs w:val="24"/>
        </w:rPr>
        <w:t xml:space="preserve"> la transparencia de las actividades estatales y</w:t>
      </w:r>
      <w:r w:rsidRPr="00B50675">
        <w:rPr>
          <w:rFonts w:ascii="Palatino Linotype" w:eastAsia="MS Mincho" w:hAnsi="Palatino Linotype" w:cs="Times New Roman"/>
          <w:sz w:val="24"/>
          <w:szCs w:val="24"/>
        </w:rPr>
        <w:t xml:space="preserve"> promoviendo</w:t>
      </w:r>
      <w:r w:rsidRPr="00B50675">
        <w:rPr>
          <w:rFonts w:ascii="Palatino Linotype" w:eastAsia="MS Mincho" w:hAnsi="Palatino Linotype" w:cs="Times New Roman"/>
          <w:i/>
          <w:sz w:val="24"/>
          <w:szCs w:val="24"/>
        </w:rPr>
        <w:t xml:space="preserve"> la responsabilidad de los funcionarios sobre su gestión pública </w:t>
      </w:r>
      <w:r w:rsidRPr="00B50675">
        <w:rPr>
          <w:rFonts w:ascii="Palatino Linotype" w:eastAsia="MS Mincho" w:hAnsi="Palatino Linotype" w:cs="Times New Roman"/>
          <w:sz w:val="24"/>
          <w:szCs w:val="24"/>
        </w:rPr>
        <w:t>que permite</w:t>
      </w:r>
      <w:r w:rsidRPr="00B50675">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B50675">
        <w:rPr>
          <w:rFonts w:ascii="Palatino Linotype" w:eastAsia="MS Mincho" w:hAnsi="Palatino Linotype" w:cs="Times New Roman"/>
          <w:i/>
          <w:sz w:val="24"/>
          <w:szCs w:val="24"/>
          <w:vertAlign w:val="superscript"/>
        </w:rPr>
        <w:footnoteReference w:id="6"/>
      </w:r>
      <w:r w:rsidRPr="00B50675">
        <w:rPr>
          <w:rFonts w:ascii="Palatino Linotype" w:eastAsia="MS Mincho" w:hAnsi="Palatino Linotype" w:cs="Times New Roman"/>
          <w:sz w:val="24"/>
          <w:szCs w:val="24"/>
        </w:rPr>
        <w:t xml:space="preserve"> ”.</w:t>
      </w:r>
    </w:p>
    <w:p w:rsidR="00B50675" w:rsidRPr="00B50675" w:rsidRDefault="00B50675" w:rsidP="00B50675">
      <w:pPr>
        <w:spacing w:before="240" w:after="0" w:line="360" w:lineRule="auto"/>
        <w:contextualSpacing/>
        <w:jc w:val="both"/>
        <w:rPr>
          <w:rFonts w:ascii="Palatino Linotype" w:hAnsi="Palatino Linotype" w:cs="Arial"/>
          <w:color w:val="000000" w:themeColor="text1"/>
          <w:sz w:val="24"/>
          <w:szCs w:val="24"/>
        </w:rPr>
      </w:pPr>
    </w:p>
    <w:p w:rsidR="00B50675" w:rsidRPr="00B50675" w:rsidRDefault="00B50675" w:rsidP="005229B7">
      <w:pPr>
        <w:keepNext/>
        <w:keepLines/>
        <w:numPr>
          <w:ilvl w:val="0"/>
          <w:numId w:val="10"/>
        </w:numPr>
        <w:spacing w:before="40" w:after="0"/>
        <w:ind w:left="0" w:firstLine="0"/>
        <w:outlineLvl w:val="1"/>
        <w:rPr>
          <w:rFonts w:ascii="Palatino Linotype" w:eastAsiaTheme="majorEastAsia" w:hAnsi="Palatino Linotype" w:cs="Arial"/>
          <w:b/>
          <w:iCs/>
          <w:color w:val="000000" w:themeColor="text1"/>
          <w:sz w:val="24"/>
          <w:szCs w:val="24"/>
        </w:rPr>
      </w:pPr>
      <w:bookmarkStart w:id="6" w:name="_Toc521279011"/>
      <w:bookmarkStart w:id="7" w:name="_Toc523746023"/>
      <w:r w:rsidRPr="00B50675">
        <w:rPr>
          <w:rFonts w:ascii="Palatino Linotype" w:eastAsiaTheme="majorEastAsia" w:hAnsi="Palatino Linotype" w:cs="Arial"/>
          <w:b/>
          <w:iCs/>
          <w:color w:val="000000" w:themeColor="text1"/>
          <w:sz w:val="24"/>
          <w:szCs w:val="24"/>
        </w:rPr>
        <w:t>Las garantías primarias del derecho de acceso a la información pública.</w:t>
      </w:r>
      <w:bookmarkEnd w:id="6"/>
      <w:bookmarkEnd w:id="7"/>
    </w:p>
    <w:p w:rsidR="00B50675" w:rsidRPr="00B50675" w:rsidRDefault="00B50675" w:rsidP="00B50675">
      <w:pPr>
        <w:spacing w:before="240" w:after="0" w:line="360" w:lineRule="auto"/>
        <w:contextualSpacing/>
        <w:jc w:val="both"/>
        <w:rPr>
          <w:rFonts w:ascii="Palatino Linotype" w:hAnsi="Palatino Linotype" w:cs="Arial"/>
          <w:i/>
          <w:color w:val="000000" w:themeColor="text1"/>
          <w:sz w:val="24"/>
          <w:szCs w:val="24"/>
        </w:rPr>
      </w:pPr>
    </w:p>
    <w:p w:rsidR="00B50675" w:rsidRPr="00B50675" w:rsidRDefault="00B50675" w:rsidP="00BA2F18">
      <w:pPr>
        <w:numPr>
          <w:ilvl w:val="0"/>
          <w:numId w:val="1"/>
        </w:numPr>
        <w:spacing w:before="240" w:after="0" w:line="360" w:lineRule="auto"/>
        <w:ind w:left="0" w:hanging="11"/>
        <w:contextualSpacing/>
        <w:jc w:val="both"/>
        <w:rPr>
          <w:rFonts w:ascii="Palatino Linotype" w:hAnsi="Palatino Linotype" w:cs="Arial"/>
          <w:i/>
          <w:color w:val="000000" w:themeColor="text1"/>
          <w:sz w:val="24"/>
          <w:szCs w:val="24"/>
        </w:rPr>
      </w:pPr>
      <w:r w:rsidRPr="00B50675">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B50675">
        <w:rPr>
          <w:rFonts w:ascii="Palatino Linotype" w:hAnsi="Palatino Linotype" w:cs="Arial"/>
          <w:i/>
          <w:color w:val="000000" w:themeColor="text1"/>
          <w:sz w:val="24"/>
          <w:szCs w:val="24"/>
        </w:rPr>
        <w:t>las</w:t>
      </w:r>
      <w:r w:rsidRPr="00B50675">
        <w:rPr>
          <w:rFonts w:ascii="Palatino Linotype" w:hAnsi="Palatino Linotype" w:cs="Arial"/>
          <w:color w:val="000000" w:themeColor="text1"/>
          <w:sz w:val="24"/>
          <w:szCs w:val="24"/>
        </w:rPr>
        <w:t xml:space="preserve"> </w:t>
      </w:r>
      <w:r w:rsidRPr="00B50675">
        <w:rPr>
          <w:rFonts w:ascii="Palatino Linotype" w:hAnsi="Palatino Linotype" w:cs="Arial"/>
          <w:i/>
          <w:color w:val="000000" w:themeColor="text1"/>
          <w:sz w:val="24"/>
          <w:szCs w:val="24"/>
        </w:rPr>
        <w:t>obligaciones o prohibiciones inmediatamente correlativas a los derechos establecidos en las constituciones</w:t>
      </w:r>
      <w:r w:rsidRPr="00B50675">
        <w:rPr>
          <w:rFonts w:ascii="Palatino Linotype" w:hAnsi="Palatino Linotype" w:cs="Arial"/>
          <w:i/>
          <w:color w:val="000000" w:themeColor="text1"/>
          <w:sz w:val="24"/>
          <w:szCs w:val="24"/>
          <w:vertAlign w:val="superscript"/>
        </w:rPr>
        <w:footnoteReference w:id="7"/>
      </w:r>
      <w:r w:rsidRPr="00B50675">
        <w:rPr>
          <w:rFonts w:ascii="Palatino Linotype" w:hAnsi="Palatino Linotype" w:cs="Arial"/>
          <w:color w:val="000000" w:themeColor="text1"/>
          <w:sz w:val="24"/>
          <w:szCs w:val="24"/>
        </w:rPr>
        <w:t xml:space="preserve"> o bien </w:t>
      </w:r>
      <w:r w:rsidRPr="00B50675">
        <w:rPr>
          <w:rFonts w:ascii="Palatino Linotype" w:hAnsi="Palatino Linotype" w:cs="Arial"/>
          <w:i/>
          <w:color w:val="000000" w:themeColor="text1"/>
          <w:sz w:val="24"/>
          <w:szCs w:val="24"/>
        </w:rPr>
        <w:t>como la suma de las garantías positivas y de las garantías negativas,</w:t>
      </w:r>
      <w:r w:rsidRPr="00B50675">
        <w:rPr>
          <w:rFonts w:ascii="Palatino Linotype" w:hAnsi="Palatino Linotype" w:cs="Arial"/>
          <w:i/>
          <w:color w:val="000000" w:themeColor="text1"/>
          <w:sz w:val="24"/>
          <w:szCs w:val="24"/>
          <w:vertAlign w:val="superscript"/>
        </w:rPr>
        <w:footnoteReference w:id="8"/>
      </w:r>
      <w:r w:rsidRPr="00B50675">
        <w:rPr>
          <w:rFonts w:ascii="Palatino Linotype" w:hAnsi="Palatino Linotype" w:cs="Arial"/>
          <w:color w:val="000000" w:themeColor="text1"/>
          <w:sz w:val="24"/>
          <w:szCs w:val="24"/>
        </w:rPr>
        <w:t xml:space="preserve"> lo que en materia de acceso a la información pública se aprecia en dos obligaciones impuestas </w:t>
      </w:r>
      <w:r w:rsidRPr="00B50675">
        <w:rPr>
          <w:rFonts w:ascii="Palatino Linotype" w:hAnsi="Palatino Linotype" w:cs="Arial"/>
          <w:color w:val="000000" w:themeColor="text1"/>
          <w:sz w:val="24"/>
          <w:szCs w:val="24"/>
        </w:rPr>
        <w:lastRenderedPageBreak/>
        <w:t xml:space="preserve">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B50675">
        <w:rPr>
          <w:rFonts w:ascii="Palatino Linotype" w:hAnsi="Palatino Linotype" w:cs="Arial"/>
          <w:i/>
          <w:color w:val="000000" w:themeColor="text1"/>
          <w:sz w:val="24"/>
          <w:szCs w:val="24"/>
        </w:rPr>
        <w:t xml:space="preserve">el procedimiento de acceso a la información pública es la garantía del derecho en cuestión. </w:t>
      </w:r>
    </w:p>
    <w:p w:rsidR="00B50675" w:rsidRPr="00B50675" w:rsidRDefault="00B50675" w:rsidP="00B50675">
      <w:pPr>
        <w:keepNext/>
        <w:keepLines/>
        <w:spacing w:before="40" w:after="0" w:line="360" w:lineRule="auto"/>
        <w:contextualSpacing/>
        <w:jc w:val="both"/>
        <w:outlineLvl w:val="1"/>
        <w:rPr>
          <w:rFonts w:ascii="Palatino Linotype" w:eastAsiaTheme="majorEastAsia" w:hAnsi="Palatino Linotype" w:cs="Arial"/>
          <w:color w:val="2E74B5" w:themeColor="accent1" w:themeShade="BF"/>
          <w:sz w:val="24"/>
          <w:szCs w:val="24"/>
        </w:rPr>
      </w:pPr>
    </w:p>
    <w:p w:rsidR="00B50675" w:rsidRPr="00B50675" w:rsidRDefault="00B50675" w:rsidP="005229B7">
      <w:pPr>
        <w:keepNext/>
        <w:keepLines/>
        <w:numPr>
          <w:ilvl w:val="0"/>
          <w:numId w:val="10"/>
        </w:numPr>
        <w:spacing w:before="40" w:after="0"/>
        <w:ind w:left="0" w:firstLine="0"/>
        <w:outlineLvl w:val="1"/>
        <w:rPr>
          <w:rFonts w:ascii="Palatino Linotype" w:eastAsiaTheme="majorEastAsia" w:hAnsi="Palatino Linotype" w:cs="Arial"/>
          <w:b/>
          <w:iCs/>
          <w:color w:val="000000" w:themeColor="text1"/>
          <w:sz w:val="24"/>
          <w:szCs w:val="24"/>
        </w:rPr>
      </w:pPr>
      <w:bookmarkStart w:id="8" w:name="_Toc521279012"/>
      <w:bookmarkStart w:id="9" w:name="_Toc523746024"/>
      <w:r w:rsidRPr="00B50675">
        <w:rPr>
          <w:rFonts w:ascii="Palatino Linotype" w:eastAsiaTheme="majorEastAsia" w:hAnsi="Palatino Linotype" w:cs="Arial"/>
          <w:b/>
          <w:iCs/>
          <w:color w:val="000000" w:themeColor="text1"/>
          <w:sz w:val="24"/>
          <w:szCs w:val="24"/>
        </w:rPr>
        <w:t>La garantía secundaria del derecho de acceso a la información pública.</w:t>
      </w:r>
      <w:bookmarkEnd w:id="8"/>
      <w:bookmarkEnd w:id="9"/>
    </w:p>
    <w:p w:rsidR="00B50675" w:rsidRPr="00B50675" w:rsidRDefault="00B50675" w:rsidP="00B50675">
      <w:pPr>
        <w:spacing w:line="360" w:lineRule="auto"/>
        <w:ind w:left="720"/>
        <w:contextualSpacing/>
        <w:rPr>
          <w:rFonts w:ascii="Palatino Linotype" w:hAnsi="Palatino Linotype" w:cs="Arial"/>
          <w:color w:val="000000" w:themeColor="text1"/>
          <w:sz w:val="24"/>
          <w:szCs w:val="24"/>
        </w:rPr>
      </w:pPr>
    </w:p>
    <w:p w:rsidR="00B50675" w:rsidRPr="00B50675" w:rsidRDefault="00B50675" w:rsidP="005229B7">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B50675">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B50675">
        <w:rPr>
          <w:rFonts w:ascii="Palatino Linotype" w:hAnsi="Palatino Linotype" w:cs="Arial"/>
          <w:i/>
          <w:color w:val="000000" w:themeColor="text1"/>
          <w:sz w:val="24"/>
          <w:szCs w:val="24"/>
        </w:rPr>
        <w:t>investigar, sancionar y reparar</w:t>
      </w:r>
      <w:r w:rsidRPr="00B50675">
        <w:rPr>
          <w:rFonts w:ascii="Palatino Linotype" w:hAnsi="Palatino Linotype" w:cs="Arial"/>
          <w:color w:val="000000" w:themeColor="text1"/>
          <w:sz w:val="24"/>
          <w:szCs w:val="24"/>
        </w:rPr>
        <w:t xml:space="preserve"> sus violaciones. </w:t>
      </w:r>
    </w:p>
    <w:p w:rsidR="00B50675" w:rsidRPr="00B50675" w:rsidRDefault="00B50675" w:rsidP="00B50675">
      <w:pPr>
        <w:spacing w:after="0" w:line="360" w:lineRule="auto"/>
        <w:ind w:left="360"/>
        <w:contextualSpacing/>
        <w:jc w:val="both"/>
        <w:rPr>
          <w:rFonts w:ascii="Palatino Linotype" w:hAnsi="Palatino Linotype" w:cs="Arial"/>
          <w:color w:val="000000" w:themeColor="text1"/>
          <w:sz w:val="24"/>
          <w:szCs w:val="24"/>
        </w:rPr>
      </w:pPr>
    </w:p>
    <w:p w:rsidR="00B50675" w:rsidRPr="00B50675" w:rsidRDefault="00B50675" w:rsidP="00E776DB">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B50675">
        <w:rPr>
          <w:rFonts w:ascii="Palatino Linotype" w:hAnsi="Palatino Linotype" w:cs="Arial"/>
          <w:color w:val="000000" w:themeColor="text1"/>
          <w:sz w:val="24"/>
          <w:szCs w:val="24"/>
        </w:rPr>
        <w:t xml:space="preserve"> Las propias obligaciones internacionales adquiridas por el Estado Mexicano  determinan que nuestro país cuente con un procedimiento sencillo, rápido</w:t>
      </w:r>
      <w:r w:rsidRPr="00B50675">
        <w:rPr>
          <w:rFonts w:ascii="Palatino Linotype" w:hAnsi="Palatino Linotype" w:cs="Arial"/>
          <w:color w:val="000000" w:themeColor="text1"/>
          <w:sz w:val="24"/>
          <w:szCs w:val="24"/>
          <w:vertAlign w:val="superscript"/>
        </w:rPr>
        <w:footnoteReference w:id="9"/>
      </w:r>
      <w:r w:rsidRPr="00B50675">
        <w:rPr>
          <w:rFonts w:ascii="Palatino Linotype" w:hAnsi="Palatino Linotype" w:cs="Arial"/>
          <w:color w:val="000000" w:themeColor="text1"/>
          <w:sz w:val="24"/>
          <w:szCs w:val="24"/>
        </w:rPr>
        <w:t xml:space="preserve"> y  efectivo</w:t>
      </w:r>
      <w:r w:rsidRPr="00B50675">
        <w:rPr>
          <w:rFonts w:ascii="Palatino Linotype" w:hAnsi="Palatino Linotype" w:cs="Arial"/>
          <w:color w:val="000000" w:themeColor="text1"/>
          <w:sz w:val="24"/>
          <w:szCs w:val="24"/>
          <w:vertAlign w:val="superscript"/>
        </w:rPr>
        <w:footnoteReference w:id="10"/>
      </w:r>
      <w:r w:rsidRPr="00B50675">
        <w:rPr>
          <w:rFonts w:ascii="Palatino Linotype" w:hAnsi="Palatino Linotype" w:cs="Arial"/>
          <w:color w:val="000000" w:themeColor="text1"/>
          <w:sz w:val="24"/>
          <w:szCs w:val="24"/>
        </w:rPr>
        <w:t xml:space="preserve"> para la protección del derecho de acceso a la información pública, que ha implicado el diseño del recurso de revisión como una garantía secundaria, </w:t>
      </w:r>
      <w:r w:rsidRPr="00B50675">
        <w:rPr>
          <w:rFonts w:ascii="Palatino Linotype" w:hAnsi="Palatino Linotype" w:cs="Arial"/>
          <w:color w:val="000000" w:themeColor="text1"/>
          <w:sz w:val="24"/>
          <w:szCs w:val="24"/>
        </w:rPr>
        <w:lastRenderedPageBreak/>
        <w:t>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Pr="00B50675">
        <w:rPr>
          <w:rFonts w:ascii="Palatino Linotype" w:hAnsi="Palatino Linotype" w:cs="Arial"/>
          <w:color w:val="000000" w:themeColor="text1"/>
          <w:sz w:val="24"/>
          <w:szCs w:val="24"/>
          <w:vertAlign w:val="superscript"/>
        </w:rPr>
        <w:footnoteReference w:id="11"/>
      </w:r>
      <w:r w:rsidRPr="00B50675">
        <w:rPr>
          <w:rFonts w:ascii="Palatino Linotype" w:hAnsi="Palatino Linotype" w:cs="Arial"/>
          <w:color w:val="000000" w:themeColor="text1"/>
          <w:sz w:val="24"/>
          <w:szCs w:val="24"/>
        </w:rPr>
        <w:t xml:space="preserve"> </w:t>
      </w:r>
    </w:p>
    <w:p w:rsidR="00B50675" w:rsidRPr="00B50675" w:rsidRDefault="00B50675" w:rsidP="00B50675">
      <w:pPr>
        <w:spacing w:line="360" w:lineRule="auto"/>
        <w:ind w:left="720"/>
        <w:contextualSpacing/>
        <w:rPr>
          <w:rFonts w:ascii="Palatino Linotype" w:hAnsi="Palatino Linotype" w:cs="Arial"/>
          <w:color w:val="000000" w:themeColor="text1"/>
          <w:sz w:val="24"/>
          <w:szCs w:val="24"/>
        </w:rPr>
      </w:pPr>
    </w:p>
    <w:p w:rsidR="00B50675" w:rsidRPr="00BA2F18" w:rsidRDefault="00B50675" w:rsidP="00E776DB">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B50675">
        <w:rPr>
          <w:rFonts w:ascii="Palatino Linotype" w:hAnsi="Palatino Linotype" w:cs="Arial"/>
          <w:color w:val="000000" w:themeColor="text1"/>
          <w:sz w:val="24"/>
          <w:szCs w:val="24"/>
        </w:rPr>
        <w:t xml:space="preserve">Lo que fue entendido por el legislador ordinario mexiquense quien a través del artículo 176 de la ley estatal de transparencia citada previamente, ha señalado que  </w:t>
      </w:r>
      <w:r w:rsidRPr="00B50675">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B50675">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B50675">
        <w:rPr>
          <w:rFonts w:ascii="Palatino Linotype" w:hAnsi="Palatino Linotype" w:cs="Arial"/>
          <w:i/>
          <w:color w:val="000000" w:themeColor="text1"/>
          <w:sz w:val="24"/>
          <w:szCs w:val="24"/>
        </w:rPr>
        <w:t xml:space="preserve">la reparación judicial </w:t>
      </w:r>
      <w:r w:rsidRPr="00B50675">
        <w:rPr>
          <w:rFonts w:ascii="Palatino Linotype" w:hAnsi="Palatino Linotype" w:cs="Arial"/>
          <w:color w:val="000000" w:themeColor="text1"/>
          <w:sz w:val="24"/>
          <w:szCs w:val="24"/>
        </w:rPr>
        <w:t>(en nuestro caso, materialmente jurisdiccional)</w:t>
      </w:r>
      <w:r w:rsidRPr="00B50675">
        <w:rPr>
          <w:rFonts w:ascii="Palatino Linotype" w:hAnsi="Palatino Linotype" w:cs="Arial"/>
          <w:i/>
          <w:color w:val="000000" w:themeColor="text1"/>
          <w:sz w:val="24"/>
          <w:szCs w:val="24"/>
        </w:rPr>
        <w:t xml:space="preserve"> de las violaciones de las garantías primarias</w:t>
      </w:r>
      <w:r w:rsidRPr="00B50675">
        <w:rPr>
          <w:rFonts w:ascii="Palatino Linotype" w:hAnsi="Palatino Linotype" w:cs="Arial"/>
          <w:i/>
          <w:color w:val="000000" w:themeColor="text1"/>
          <w:sz w:val="24"/>
          <w:szCs w:val="24"/>
          <w:vertAlign w:val="superscript"/>
        </w:rPr>
        <w:footnoteReference w:id="12"/>
      </w:r>
      <w:r w:rsidRPr="00B50675">
        <w:rPr>
          <w:rFonts w:ascii="Palatino Linotype" w:hAnsi="Palatino Linotype" w:cs="Arial"/>
          <w:i/>
          <w:color w:val="000000" w:themeColor="text1"/>
          <w:sz w:val="24"/>
          <w:szCs w:val="24"/>
        </w:rPr>
        <w:t xml:space="preserve"> </w:t>
      </w:r>
      <w:r w:rsidRPr="00B50675">
        <w:rPr>
          <w:rFonts w:ascii="Palatino Linotype" w:hAnsi="Palatino Linotype" w:cs="Arial"/>
          <w:color w:val="000000" w:themeColor="text1"/>
          <w:sz w:val="24"/>
          <w:szCs w:val="24"/>
        </w:rPr>
        <w:t xml:space="preserve">o como </w:t>
      </w:r>
      <w:r w:rsidRPr="00B50675">
        <w:rPr>
          <w:rFonts w:ascii="Palatino Linotype" w:hAnsi="Palatino Linotype" w:cs="Arial"/>
          <w:i/>
          <w:color w:val="000000" w:themeColor="text1"/>
          <w:sz w:val="24"/>
          <w:szCs w:val="24"/>
        </w:rPr>
        <w:t xml:space="preserve">garantías jurisdiccionales de </w:t>
      </w:r>
      <w:proofErr w:type="spellStart"/>
      <w:r w:rsidRPr="00B50675">
        <w:rPr>
          <w:rFonts w:ascii="Palatino Linotype" w:hAnsi="Palatino Linotype" w:cs="Arial"/>
          <w:i/>
          <w:color w:val="000000" w:themeColor="text1"/>
          <w:sz w:val="24"/>
          <w:szCs w:val="24"/>
        </w:rPr>
        <w:t>justiciabilidad</w:t>
      </w:r>
      <w:proofErr w:type="spellEnd"/>
      <w:r w:rsidRPr="00B50675">
        <w:rPr>
          <w:rFonts w:ascii="Palatino Linotype" w:hAnsi="Palatino Linotype" w:cs="Arial"/>
          <w:i/>
          <w:color w:val="000000" w:themeColor="text1"/>
          <w:sz w:val="24"/>
          <w:szCs w:val="24"/>
        </w:rPr>
        <w:t xml:space="preserve"> que intervienen, en caso de violación de las garantías primarias y de los derechos correlativos, a través de la anulación de los actos inválidos y de la sanción por los actos ilícitos.</w:t>
      </w:r>
      <w:r w:rsidRPr="00B50675">
        <w:rPr>
          <w:rFonts w:ascii="Palatino Linotype" w:hAnsi="Palatino Linotype" w:cs="Arial"/>
          <w:i/>
          <w:color w:val="000000" w:themeColor="text1"/>
          <w:sz w:val="24"/>
          <w:szCs w:val="24"/>
          <w:vertAlign w:val="superscript"/>
        </w:rPr>
        <w:footnoteReference w:id="13"/>
      </w:r>
      <w:r w:rsidRPr="00B50675">
        <w:rPr>
          <w:rFonts w:ascii="Palatino Linotype" w:hAnsi="Palatino Linotype" w:cs="Arial"/>
          <w:i/>
          <w:color w:val="000000" w:themeColor="text1"/>
          <w:sz w:val="24"/>
          <w:szCs w:val="24"/>
        </w:rPr>
        <w:t xml:space="preserve"> </w:t>
      </w:r>
    </w:p>
    <w:p w:rsidR="00BA2F18" w:rsidRDefault="00BA2F18" w:rsidP="00BA2F18">
      <w:pPr>
        <w:pStyle w:val="Prrafodelista"/>
        <w:rPr>
          <w:rFonts w:ascii="Palatino Linotype" w:hAnsi="Palatino Linotype" w:cs="Arial"/>
          <w:color w:val="000000" w:themeColor="text1"/>
          <w:sz w:val="24"/>
          <w:szCs w:val="24"/>
        </w:rPr>
      </w:pPr>
    </w:p>
    <w:p w:rsidR="00B05E1E" w:rsidRDefault="00B05E1E" w:rsidP="00B05E1E">
      <w:pPr>
        <w:pStyle w:val="Prrafodelista"/>
        <w:spacing w:after="0" w:line="360" w:lineRule="auto"/>
        <w:ind w:left="0" w:right="49"/>
        <w:jc w:val="both"/>
      </w:pPr>
    </w:p>
    <w:p w:rsidR="00E776DB" w:rsidRPr="00B05E1E" w:rsidRDefault="00E776DB" w:rsidP="00B05E1E">
      <w:pPr>
        <w:pStyle w:val="Prrafodelista"/>
        <w:spacing w:after="0" w:line="360" w:lineRule="auto"/>
        <w:ind w:left="0" w:right="49"/>
        <w:jc w:val="both"/>
      </w:pPr>
    </w:p>
    <w:p w:rsidR="00BA2F18" w:rsidRDefault="00B05E1E" w:rsidP="00BA2F18">
      <w:pPr>
        <w:pStyle w:val="Prrafodelista"/>
        <w:numPr>
          <w:ilvl w:val="0"/>
          <w:numId w:val="16"/>
        </w:numPr>
        <w:spacing w:after="0" w:line="360" w:lineRule="auto"/>
        <w:ind w:left="0" w:right="49" w:firstLine="0"/>
        <w:jc w:val="both"/>
        <w:rPr>
          <w:rFonts w:ascii="Palatino Linotype" w:hAnsi="Palatino Linotype"/>
          <w:b/>
          <w:color w:val="000000" w:themeColor="text1"/>
          <w:sz w:val="24"/>
          <w:szCs w:val="24"/>
        </w:rPr>
      </w:pPr>
      <w:bookmarkStart w:id="10" w:name="_Toc523746025"/>
      <w:r w:rsidRPr="00B05E1E">
        <w:rPr>
          <w:rStyle w:val="Ttulo2Car"/>
          <w:rFonts w:ascii="Palatino Linotype" w:hAnsi="Palatino Linotype"/>
          <w:b/>
          <w:color w:val="000000" w:themeColor="text1"/>
          <w:sz w:val="24"/>
          <w:szCs w:val="24"/>
        </w:rPr>
        <w:lastRenderedPageBreak/>
        <w:t>De la</w:t>
      </w:r>
      <w:r>
        <w:rPr>
          <w:rStyle w:val="Ttulo2Car"/>
          <w:rFonts w:ascii="Palatino Linotype" w:hAnsi="Palatino Linotype"/>
          <w:b/>
          <w:color w:val="000000" w:themeColor="text1"/>
          <w:sz w:val="24"/>
          <w:szCs w:val="24"/>
        </w:rPr>
        <w:t>s</w:t>
      </w:r>
      <w:r w:rsidRPr="00B05E1E">
        <w:rPr>
          <w:rStyle w:val="Ttulo2Car"/>
          <w:rFonts w:ascii="Palatino Linotype" w:hAnsi="Palatino Linotype"/>
          <w:b/>
          <w:color w:val="000000" w:themeColor="text1"/>
          <w:sz w:val="24"/>
          <w:szCs w:val="24"/>
        </w:rPr>
        <w:t xml:space="preserve"> Facultades que este Instituto tiene en materia de suplencia de la queja</w:t>
      </w:r>
      <w:bookmarkEnd w:id="10"/>
      <w:r w:rsidRPr="00B05E1E">
        <w:rPr>
          <w:rFonts w:ascii="Palatino Linotype" w:hAnsi="Palatino Linotype"/>
          <w:b/>
          <w:color w:val="000000" w:themeColor="text1"/>
          <w:sz w:val="24"/>
          <w:szCs w:val="24"/>
        </w:rPr>
        <w:t>.</w:t>
      </w:r>
    </w:p>
    <w:p w:rsidR="00613505" w:rsidRPr="00BA2F18" w:rsidRDefault="00613505" w:rsidP="00613505">
      <w:pPr>
        <w:pStyle w:val="Prrafodelista"/>
        <w:spacing w:after="0" w:line="360" w:lineRule="auto"/>
        <w:ind w:left="0" w:right="49"/>
        <w:jc w:val="both"/>
        <w:rPr>
          <w:rFonts w:ascii="Palatino Linotype" w:hAnsi="Palatino Linotype"/>
          <w:b/>
          <w:color w:val="000000" w:themeColor="text1"/>
          <w:sz w:val="24"/>
          <w:szCs w:val="24"/>
        </w:rPr>
      </w:pPr>
    </w:p>
    <w:p w:rsidR="004B37BC" w:rsidRDefault="004B37BC" w:rsidP="00B05E1E">
      <w:pPr>
        <w:pStyle w:val="Prrafodelista"/>
        <w:numPr>
          <w:ilvl w:val="0"/>
          <w:numId w:val="1"/>
        </w:numPr>
        <w:spacing w:after="0" w:line="360" w:lineRule="auto"/>
        <w:ind w:left="0" w:hanging="11"/>
        <w:jc w:val="both"/>
        <w:rPr>
          <w:rFonts w:ascii="Palatino Linotype" w:hAnsi="Palatino Linotype" w:cs="Arial"/>
          <w:sz w:val="24"/>
          <w:szCs w:val="24"/>
        </w:rPr>
      </w:pPr>
      <w:r>
        <w:rPr>
          <w:rFonts w:ascii="Palatino Linotype" w:hAnsi="Palatino Linotype" w:cs="Arial"/>
          <w:sz w:val="24"/>
          <w:szCs w:val="24"/>
        </w:rPr>
        <w:t xml:space="preserve">En la resolución se ordena hacer entrega del “Histórico”, al respecto estoy convencido de que la garantía constitucional que se desahoga ante esta autoridad corresponde a un procedimiento cuasi jurisdiccional que si bien reúne las formalidades básicas, que no todas, también resulta evidente más flexible, más laxo y pretende ser de mayor protección al derecho humano, </w:t>
      </w:r>
      <w:r w:rsidR="00674EE0">
        <w:rPr>
          <w:rFonts w:ascii="Palatino Linotype" w:hAnsi="Palatino Linotype" w:cs="Arial"/>
          <w:sz w:val="24"/>
          <w:szCs w:val="24"/>
        </w:rPr>
        <w:t>por eso es que contamos con un sistema electrónico que asiste a la persona que realiza una solicitud o presenta un recurso de revisión, de tal forma que se p</w:t>
      </w:r>
      <w:r w:rsidR="00DF6828">
        <w:rPr>
          <w:rFonts w:ascii="Palatino Linotype" w:hAnsi="Palatino Linotype" w:cs="Arial"/>
          <w:sz w:val="24"/>
          <w:szCs w:val="24"/>
        </w:rPr>
        <w:t>retende que ejerza sus derechos sin verse en la necesidad de acudir a un profesionista del derecho para que le asista en la elaboración de su promoción; contrario a ello, nuestro sistema pretende asistirle y facilitarle el proce</w:t>
      </w:r>
      <w:r w:rsidR="00AE5804">
        <w:rPr>
          <w:rFonts w:ascii="Palatino Linotype" w:hAnsi="Palatino Linotype" w:cs="Arial"/>
          <w:sz w:val="24"/>
          <w:szCs w:val="24"/>
        </w:rPr>
        <w:t xml:space="preserve">dimiento, </w:t>
      </w:r>
      <w:r w:rsidR="00DF6828">
        <w:rPr>
          <w:rFonts w:ascii="Palatino Linotype" w:hAnsi="Palatino Linotype" w:cs="Arial"/>
          <w:sz w:val="24"/>
          <w:szCs w:val="24"/>
        </w:rPr>
        <w:t>así es obligación de este Órgano Garante</w:t>
      </w:r>
      <w:r w:rsidR="0057269E">
        <w:rPr>
          <w:rFonts w:ascii="Palatino Linotype" w:hAnsi="Palatino Linotype" w:cs="Arial"/>
          <w:sz w:val="24"/>
          <w:szCs w:val="24"/>
        </w:rPr>
        <w:t xml:space="preserve"> como rector del proceso, </w:t>
      </w:r>
      <w:r w:rsidR="00DF6828">
        <w:rPr>
          <w:rFonts w:ascii="Palatino Linotype" w:hAnsi="Palatino Linotype" w:cs="Arial"/>
          <w:sz w:val="24"/>
          <w:szCs w:val="24"/>
        </w:rPr>
        <w:t xml:space="preserve"> </w:t>
      </w:r>
      <w:r w:rsidR="0057269E">
        <w:rPr>
          <w:rFonts w:ascii="Palatino Linotype" w:hAnsi="Palatino Linotype" w:cs="Arial"/>
          <w:sz w:val="24"/>
          <w:szCs w:val="24"/>
        </w:rPr>
        <w:t>garantizar el derecho de acceso a la información pública</w:t>
      </w:r>
      <w:r w:rsidR="00AE5804">
        <w:rPr>
          <w:rFonts w:ascii="Palatino Linotype" w:hAnsi="Palatino Linotype" w:cs="Arial"/>
          <w:sz w:val="24"/>
          <w:szCs w:val="24"/>
        </w:rPr>
        <w:t xml:space="preserve">, </w:t>
      </w:r>
      <w:r w:rsidR="0057269E">
        <w:rPr>
          <w:rFonts w:ascii="Palatino Linotype" w:hAnsi="Palatino Linotype" w:cs="Arial"/>
          <w:sz w:val="24"/>
          <w:szCs w:val="24"/>
        </w:rPr>
        <w:t>de conformidad con los artículos 13 y 181 de la Ley de Transparencia y Acceso a la Información Pública del Estado de México y Municipios, que contemplan la figura de la suplencia de la queja.</w:t>
      </w:r>
    </w:p>
    <w:p w:rsidR="0057269E" w:rsidRDefault="0057269E" w:rsidP="0057269E">
      <w:pPr>
        <w:pStyle w:val="Prrafodelista"/>
        <w:spacing w:after="0" w:line="360" w:lineRule="auto"/>
        <w:ind w:left="0"/>
        <w:jc w:val="both"/>
        <w:rPr>
          <w:rFonts w:ascii="Palatino Linotype" w:hAnsi="Palatino Linotype" w:cs="Arial"/>
          <w:sz w:val="24"/>
          <w:szCs w:val="24"/>
        </w:rPr>
      </w:pPr>
    </w:p>
    <w:p w:rsidR="00B05E1E" w:rsidRPr="00B05E1E" w:rsidRDefault="00B05E1E" w:rsidP="00B05E1E">
      <w:pPr>
        <w:pStyle w:val="Prrafodelista"/>
        <w:numPr>
          <w:ilvl w:val="0"/>
          <w:numId w:val="1"/>
        </w:numPr>
        <w:spacing w:after="0" w:line="360" w:lineRule="auto"/>
        <w:ind w:left="0" w:hanging="11"/>
        <w:jc w:val="both"/>
        <w:rPr>
          <w:rFonts w:ascii="Palatino Linotype" w:hAnsi="Palatino Linotype" w:cs="Arial"/>
          <w:sz w:val="24"/>
          <w:szCs w:val="24"/>
        </w:rPr>
      </w:pPr>
      <w:r w:rsidRPr="00B05E1E">
        <w:rPr>
          <w:rFonts w:ascii="Palatino Linotype" w:hAnsi="Palatino Linotype" w:cs="Arial"/>
          <w:sz w:val="24"/>
          <w:szCs w:val="24"/>
        </w:rPr>
        <w:t xml:space="preserve">La figura de la suplencia de la queja, para Héctor </w:t>
      </w:r>
      <w:proofErr w:type="spellStart"/>
      <w:r w:rsidRPr="00B05E1E">
        <w:rPr>
          <w:rFonts w:ascii="Palatino Linotype" w:hAnsi="Palatino Linotype" w:cs="Arial"/>
          <w:sz w:val="24"/>
          <w:szCs w:val="24"/>
        </w:rPr>
        <w:t>Fix</w:t>
      </w:r>
      <w:proofErr w:type="spellEnd"/>
      <w:r w:rsidRPr="00B05E1E">
        <w:rPr>
          <w:rFonts w:ascii="Palatino Linotype" w:hAnsi="Palatino Linotype" w:cs="Arial"/>
          <w:sz w:val="24"/>
          <w:szCs w:val="24"/>
        </w:rPr>
        <w:t xml:space="preserve"> </w:t>
      </w:r>
      <w:proofErr w:type="gramStart"/>
      <w:r w:rsidRPr="00B05E1E">
        <w:rPr>
          <w:rFonts w:ascii="Palatino Linotype" w:hAnsi="Palatino Linotype" w:cs="Arial"/>
          <w:sz w:val="24"/>
          <w:szCs w:val="24"/>
        </w:rPr>
        <w:t>Zamudio  “</w:t>
      </w:r>
      <w:proofErr w:type="gramEnd"/>
      <w:r w:rsidRPr="00B05E1E">
        <w:rPr>
          <w:rFonts w:ascii="Palatino Linotype" w:hAnsi="Palatino Linotype" w:cs="Arial"/>
          <w:sz w:val="24"/>
          <w:szCs w:val="24"/>
        </w:rPr>
        <w:t xml:space="preserve">…puede caracterizarse como el conjunto de atribuciones que se confieren al juez de amparo para corregir los errores o deficiencias en que incurran los reclamantes que, por su debilidad económica y cultural, carecen de un debido asesoramiento, y que puede </w:t>
      </w:r>
      <w:r w:rsidRPr="00B05E1E">
        <w:rPr>
          <w:rFonts w:ascii="Palatino Linotype" w:hAnsi="Palatino Linotype" w:cs="Arial"/>
          <w:sz w:val="24"/>
          <w:szCs w:val="24"/>
        </w:rPr>
        <w:lastRenderedPageBreak/>
        <w:t>expenderse, como ocurre en el proceso social agrario, a los diversos actos procesales de la parte débil incluyendo el ofrecimiento y desahogo de los medios de prueba”.</w:t>
      </w:r>
      <w:r w:rsidRPr="00B05E1E">
        <w:rPr>
          <w:rFonts w:ascii="Palatino Linotype" w:hAnsi="Palatino Linotype" w:cs="Arial"/>
          <w:vertAlign w:val="superscript"/>
        </w:rPr>
        <w:footnoteReference w:id="14"/>
      </w:r>
      <w:r w:rsidRPr="00B05E1E">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B05E1E">
        <w:rPr>
          <w:rFonts w:ascii="Palatino Linotype" w:hAnsi="Palatino Linotype" w:cs="Arial"/>
          <w:vertAlign w:val="superscript"/>
        </w:rPr>
        <w:footnoteReference w:id="15"/>
      </w:r>
      <w:r w:rsidRPr="00B05E1E">
        <w:rPr>
          <w:rFonts w:ascii="Palatino Linotype" w:hAnsi="Palatino Linotype" w:cs="Arial"/>
          <w:sz w:val="24"/>
          <w:szCs w:val="24"/>
        </w:rPr>
        <w:t xml:space="preserve"> </w:t>
      </w:r>
    </w:p>
    <w:p w:rsidR="00B05E1E" w:rsidRPr="00B05E1E" w:rsidRDefault="00B05E1E" w:rsidP="00B05E1E">
      <w:pPr>
        <w:spacing w:line="360" w:lineRule="auto"/>
        <w:ind w:left="720"/>
        <w:contextualSpacing/>
        <w:jc w:val="both"/>
        <w:rPr>
          <w:rFonts w:ascii="Palatino Linotype" w:hAnsi="Palatino Linotype" w:cs="Arial"/>
          <w:sz w:val="24"/>
          <w:szCs w:val="24"/>
        </w:rPr>
      </w:pPr>
    </w:p>
    <w:p w:rsidR="00B05E1E" w:rsidRPr="00B05E1E" w:rsidRDefault="00B05E1E" w:rsidP="00B05E1E">
      <w:pPr>
        <w:numPr>
          <w:ilvl w:val="0"/>
          <w:numId w:val="1"/>
        </w:numPr>
        <w:spacing w:after="0" w:line="360" w:lineRule="auto"/>
        <w:ind w:left="0" w:firstLine="0"/>
        <w:contextualSpacing/>
        <w:jc w:val="both"/>
        <w:rPr>
          <w:rFonts w:ascii="Palatino Linotype" w:hAnsi="Palatino Linotype" w:cs="Arial"/>
          <w:sz w:val="24"/>
          <w:szCs w:val="24"/>
        </w:rPr>
      </w:pPr>
      <w:r w:rsidRPr="00B05E1E">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B05E1E" w:rsidRPr="00B05E1E" w:rsidRDefault="00B05E1E" w:rsidP="00B05E1E">
      <w:pPr>
        <w:spacing w:after="0" w:line="360" w:lineRule="auto"/>
        <w:jc w:val="both"/>
        <w:rPr>
          <w:rFonts w:ascii="Palatino Linotype" w:hAnsi="Palatino Linotype" w:cs="Arial"/>
          <w:sz w:val="24"/>
          <w:szCs w:val="24"/>
        </w:rPr>
      </w:pPr>
    </w:p>
    <w:p w:rsidR="00B05E1E" w:rsidRPr="00B05E1E" w:rsidRDefault="00B05E1E" w:rsidP="00B05E1E">
      <w:pPr>
        <w:numPr>
          <w:ilvl w:val="0"/>
          <w:numId w:val="1"/>
        </w:numPr>
        <w:spacing w:after="0" w:line="360" w:lineRule="auto"/>
        <w:ind w:left="0" w:firstLine="0"/>
        <w:contextualSpacing/>
        <w:jc w:val="both"/>
        <w:rPr>
          <w:rFonts w:ascii="Palatino Linotype" w:hAnsi="Palatino Linotype" w:cs="Arial"/>
          <w:sz w:val="24"/>
          <w:szCs w:val="24"/>
        </w:rPr>
      </w:pPr>
      <w:r w:rsidRPr="00B05E1E">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B05E1E">
        <w:rPr>
          <w:rFonts w:ascii="Palatino Linotype" w:hAnsi="Palatino Linotype" w:cs="Arial"/>
          <w:b/>
          <w:sz w:val="24"/>
          <w:szCs w:val="24"/>
        </w:rPr>
        <w:t>garantía de los derechos humanos</w:t>
      </w:r>
      <w:r w:rsidRPr="00B05E1E">
        <w:rPr>
          <w:rFonts w:ascii="Palatino Linotype" w:hAnsi="Palatino Linotype" w:cs="Arial"/>
          <w:sz w:val="24"/>
          <w:szCs w:val="24"/>
        </w:rPr>
        <w:t xml:space="preserve">, de tal forma que cualquier esfuerzo que se haga en el sentido </w:t>
      </w:r>
      <w:r w:rsidRPr="00B05E1E">
        <w:rPr>
          <w:rFonts w:ascii="Palatino Linotype" w:hAnsi="Palatino Linotype" w:cs="Arial"/>
          <w:sz w:val="24"/>
          <w:szCs w:val="24"/>
        </w:rPr>
        <w:lastRenderedPageBreak/>
        <w:t>de cumplir con dicho mandato no resulta ocioso ni sobra sino demuestra el grado de compromiso de la autoridad con este aspecto toral de la reforma constitucional del 10 de junio de 2011.</w:t>
      </w:r>
    </w:p>
    <w:p w:rsidR="00B05E1E" w:rsidRPr="00B05E1E" w:rsidRDefault="00B05E1E" w:rsidP="00B05E1E">
      <w:pPr>
        <w:spacing w:after="0" w:line="360" w:lineRule="auto"/>
        <w:jc w:val="both"/>
        <w:rPr>
          <w:rFonts w:ascii="Palatino Linotype" w:hAnsi="Palatino Linotype" w:cs="Arial"/>
          <w:sz w:val="24"/>
          <w:szCs w:val="24"/>
        </w:rPr>
      </w:pPr>
    </w:p>
    <w:p w:rsidR="00B05E1E" w:rsidRPr="00B05E1E" w:rsidRDefault="00B05E1E" w:rsidP="00B05E1E">
      <w:pPr>
        <w:numPr>
          <w:ilvl w:val="0"/>
          <w:numId w:val="1"/>
        </w:numPr>
        <w:spacing w:after="0" w:line="360" w:lineRule="auto"/>
        <w:ind w:left="0" w:firstLine="0"/>
        <w:contextualSpacing/>
        <w:jc w:val="both"/>
        <w:rPr>
          <w:rFonts w:ascii="Palatino Linotype" w:hAnsi="Palatino Linotype" w:cs="Arial"/>
          <w:sz w:val="24"/>
          <w:szCs w:val="24"/>
        </w:rPr>
      </w:pPr>
      <w:r w:rsidRPr="00B05E1E">
        <w:rPr>
          <w:rFonts w:ascii="Palatino Linotype" w:hAnsi="Palatino Linotype" w:cs="Arial"/>
          <w:sz w:val="24"/>
          <w:szCs w:val="24"/>
        </w:rPr>
        <w:t>En este sentido el Dr. Miguel Carbonell ha señalado que:</w:t>
      </w:r>
    </w:p>
    <w:p w:rsidR="00B05E1E" w:rsidRPr="00B05E1E" w:rsidRDefault="00B05E1E" w:rsidP="00B05E1E">
      <w:pPr>
        <w:spacing w:after="0" w:line="360" w:lineRule="auto"/>
        <w:ind w:left="426"/>
        <w:contextualSpacing/>
        <w:jc w:val="both"/>
        <w:rPr>
          <w:rFonts w:ascii="Palatino Linotype" w:hAnsi="Palatino Linotype" w:cs="Arial"/>
          <w:sz w:val="24"/>
          <w:szCs w:val="24"/>
        </w:rPr>
      </w:pPr>
    </w:p>
    <w:p w:rsidR="00B05E1E" w:rsidRPr="00B05E1E" w:rsidRDefault="00B05E1E" w:rsidP="00B05E1E">
      <w:pPr>
        <w:spacing w:after="0" w:line="360" w:lineRule="auto"/>
        <w:contextualSpacing/>
        <w:jc w:val="both"/>
        <w:rPr>
          <w:rFonts w:ascii="Palatino Linotype" w:hAnsi="Palatino Linotype" w:cs="Arial"/>
          <w:sz w:val="24"/>
          <w:szCs w:val="24"/>
        </w:rPr>
      </w:pPr>
      <w:r w:rsidRPr="00B05E1E">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B05E1E">
        <w:rPr>
          <w:rFonts w:ascii="Palatino Linotype" w:hAnsi="Palatino Linotype" w:cs="Arial"/>
          <w:b/>
          <w:sz w:val="24"/>
          <w:szCs w:val="24"/>
        </w:rPr>
        <w:t>considerando que algún nivel de gobierno tenga obligaciones reforzadas hacia ciertos derechos.</w:t>
      </w:r>
      <w:r w:rsidRPr="00B05E1E">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B05E1E">
        <w:rPr>
          <w:rFonts w:ascii="Palatino Linotype" w:hAnsi="Palatino Linotype" w:cs="Arial"/>
          <w:b/>
          <w:sz w:val="24"/>
          <w:szCs w:val="24"/>
        </w:rPr>
        <w:t>tomar todas las medidas que sean pertinentes para tutelar y hacer eficaz un derecho</w:t>
      </w:r>
      <w:r w:rsidRPr="00B05E1E">
        <w:rPr>
          <w:rFonts w:ascii="Palatino Linotype" w:hAnsi="Palatino Linotype" w:cs="Arial"/>
          <w:sz w:val="24"/>
          <w:szCs w:val="24"/>
        </w:rPr>
        <w:t>”.</w:t>
      </w:r>
      <w:r w:rsidRPr="00B05E1E">
        <w:rPr>
          <w:rFonts w:ascii="Palatino Linotype" w:hAnsi="Palatino Linotype" w:cs="Arial"/>
          <w:vertAlign w:val="superscript"/>
        </w:rPr>
        <w:footnoteReference w:id="16"/>
      </w:r>
    </w:p>
    <w:p w:rsidR="00B05E1E" w:rsidRDefault="00B05E1E" w:rsidP="00AE5804">
      <w:pPr>
        <w:spacing w:after="0" w:line="360" w:lineRule="auto"/>
        <w:ind w:right="49"/>
        <w:jc w:val="both"/>
        <w:rPr>
          <w:rFonts w:ascii="Palatino Linotype" w:hAnsi="Palatino Linotype"/>
          <w:b/>
          <w:color w:val="000000" w:themeColor="text1"/>
          <w:sz w:val="24"/>
          <w:szCs w:val="24"/>
        </w:rPr>
      </w:pPr>
    </w:p>
    <w:p w:rsidR="00616933" w:rsidRPr="00A33D28" w:rsidRDefault="00616933" w:rsidP="00A33D28">
      <w:pPr>
        <w:pStyle w:val="Prrafodelista"/>
        <w:numPr>
          <w:ilvl w:val="0"/>
          <w:numId w:val="1"/>
        </w:numPr>
        <w:tabs>
          <w:tab w:val="left" w:pos="284"/>
        </w:tabs>
        <w:spacing w:after="0" w:line="360" w:lineRule="auto"/>
        <w:ind w:left="0" w:right="49" w:firstLine="0"/>
        <w:jc w:val="both"/>
        <w:rPr>
          <w:rFonts w:ascii="Palatino Linotype" w:hAnsi="Palatino Linotype"/>
          <w:color w:val="000000" w:themeColor="text1"/>
          <w:sz w:val="24"/>
          <w:szCs w:val="24"/>
        </w:rPr>
      </w:pPr>
      <w:r w:rsidRPr="00A33D28">
        <w:rPr>
          <w:rFonts w:ascii="Palatino Linotype" w:hAnsi="Palatino Linotype"/>
          <w:color w:val="000000" w:themeColor="text1"/>
          <w:sz w:val="24"/>
          <w:szCs w:val="24"/>
        </w:rPr>
        <w:t>Por lo que no encausar ni suplir las deficiencias que los particulares pudieren tener con la presentación de sus solicitudes, pudiera restringir el derecho de acceso a la información</w:t>
      </w:r>
      <w:r w:rsidR="00BB5302" w:rsidRPr="00A33D28">
        <w:rPr>
          <w:rFonts w:ascii="Palatino Linotype" w:hAnsi="Palatino Linotype"/>
          <w:color w:val="000000" w:themeColor="text1"/>
          <w:sz w:val="24"/>
          <w:szCs w:val="24"/>
        </w:rPr>
        <w:t xml:space="preserve"> y </w:t>
      </w:r>
      <w:r w:rsidRPr="00A33D28">
        <w:rPr>
          <w:rFonts w:ascii="Palatino Linotype" w:hAnsi="Palatino Linotype"/>
          <w:color w:val="000000" w:themeColor="text1"/>
          <w:sz w:val="24"/>
          <w:szCs w:val="24"/>
        </w:rPr>
        <w:t xml:space="preserve"> permitir dicha omisión nos ubica en sentido contrario a la evolución experimentada por el Estado Mexicano con la trascendental reforma a la Constitución Federal del 10 de junio de 2011 en materia</w:t>
      </w:r>
      <w:r w:rsidR="00BB5302" w:rsidRPr="00A33D28">
        <w:rPr>
          <w:rFonts w:ascii="Palatino Linotype" w:hAnsi="Palatino Linotype"/>
          <w:color w:val="000000" w:themeColor="text1"/>
          <w:sz w:val="24"/>
          <w:szCs w:val="24"/>
        </w:rPr>
        <w:t xml:space="preserve"> de derechos humano, ya </w:t>
      </w:r>
      <w:r w:rsidR="00BB5302" w:rsidRPr="00A33D28">
        <w:rPr>
          <w:rFonts w:ascii="Palatino Linotype" w:hAnsi="Palatino Linotype"/>
          <w:color w:val="000000" w:themeColor="text1"/>
          <w:sz w:val="24"/>
          <w:szCs w:val="24"/>
        </w:rPr>
        <w:lastRenderedPageBreak/>
        <w:t>que con ella estanos dejando atrás al Estado de la Ley, en que la regla se impone sobre el derecho.</w:t>
      </w:r>
    </w:p>
    <w:p w:rsidR="00BB5302" w:rsidRDefault="00BB5302" w:rsidP="00AE5804">
      <w:pPr>
        <w:spacing w:after="0" w:line="360" w:lineRule="auto"/>
        <w:ind w:right="49"/>
        <w:jc w:val="both"/>
        <w:rPr>
          <w:rFonts w:ascii="Palatino Linotype" w:hAnsi="Palatino Linotype"/>
          <w:color w:val="000000" w:themeColor="text1"/>
          <w:sz w:val="24"/>
          <w:szCs w:val="24"/>
        </w:rPr>
      </w:pPr>
    </w:p>
    <w:p w:rsidR="00BB5302" w:rsidRPr="00A33D28" w:rsidRDefault="00BB5302" w:rsidP="00A33D28">
      <w:pPr>
        <w:pStyle w:val="Prrafodelista"/>
        <w:numPr>
          <w:ilvl w:val="0"/>
          <w:numId w:val="1"/>
        </w:numPr>
        <w:spacing w:after="0" w:line="360" w:lineRule="auto"/>
        <w:ind w:left="0" w:right="49" w:firstLine="0"/>
        <w:jc w:val="both"/>
        <w:rPr>
          <w:rFonts w:ascii="Palatino Linotype" w:hAnsi="Palatino Linotype"/>
          <w:color w:val="000000" w:themeColor="text1"/>
          <w:sz w:val="24"/>
          <w:szCs w:val="24"/>
        </w:rPr>
      </w:pPr>
      <w:r w:rsidRPr="00A33D28">
        <w:rPr>
          <w:rFonts w:ascii="Palatino Linotype" w:hAnsi="Palatino Linotype"/>
          <w:color w:val="000000" w:themeColor="text1"/>
          <w:sz w:val="24"/>
          <w:szCs w:val="24"/>
        </w:rPr>
        <w:t>Lo anterior es as</w:t>
      </w:r>
      <w:r w:rsidR="00580013" w:rsidRPr="00A33D28">
        <w:rPr>
          <w:rFonts w:ascii="Palatino Linotype" w:hAnsi="Palatino Linotype"/>
          <w:color w:val="000000" w:themeColor="text1"/>
          <w:sz w:val="24"/>
          <w:szCs w:val="24"/>
        </w:rPr>
        <w:t>í, ya que la particular preciso en su solicitud de información la palabra histórico, es decir ante la falta de certeza jurídica</w:t>
      </w:r>
      <w:r w:rsidR="00A33D28" w:rsidRPr="00A33D28">
        <w:rPr>
          <w:rFonts w:ascii="Palatino Linotype" w:hAnsi="Palatino Linotype"/>
          <w:color w:val="000000" w:themeColor="text1"/>
          <w:sz w:val="24"/>
          <w:szCs w:val="24"/>
        </w:rPr>
        <w:t xml:space="preserve"> que</w:t>
      </w:r>
      <w:r w:rsidR="00A33D28">
        <w:rPr>
          <w:rFonts w:ascii="Palatino Linotype" w:hAnsi="Palatino Linotype"/>
          <w:color w:val="000000" w:themeColor="text1"/>
          <w:sz w:val="24"/>
          <w:szCs w:val="24"/>
        </w:rPr>
        <w:t xml:space="preserve"> se advierte</w:t>
      </w:r>
      <w:r w:rsidR="00A33D28" w:rsidRPr="00A33D28">
        <w:rPr>
          <w:rFonts w:ascii="Palatino Linotype" w:hAnsi="Palatino Linotype"/>
          <w:color w:val="000000" w:themeColor="text1"/>
          <w:sz w:val="24"/>
          <w:szCs w:val="24"/>
        </w:rPr>
        <w:t xml:space="preserve">, </w:t>
      </w:r>
      <w:r w:rsidR="00580013" w:rsidRPr="00A33D28">
        <w:rPr>
          <w:rFonts w:ascii="Palatino Linotype" w:hAnsi="Palatino Linotype"/>
          <w:color w:val="000000" w:themeColor="text1"/>
          <w:sz w:val="24"/>
          <w:szCs w:val="24"/>
        </w:rPr>
        <w:t xml:space="preserve"> es que la ponencia </w:t>
      </w:r>
      <w:proofErr w:type="spellStart"/>
      <w:r w:rsidR="00580013" w:rsidRPr="00A33D28">
        <w:rPr>
          <w:rFonts w:ascii="Palatino Linotype" w:hAnsi="Palatino Linotype"/>
          <w:color w:val="000000" w:themeColor="text1"/>
          <w:sz w:val="24"/>
          <w:szCs w:val="24"/>
        </w:rPr>
        <w:t>resolutora</w:t>
      </w:r>
      <w:proofErr w:type="spellEnd"/>
      <w:r w:rsidR="00580013" w:rsidRPr="00A33D28">
        <w:rPr>
          <w:rFonts w:ascii="Palatino Linotype" w:hAnsi="Palatino Linotype"/>
          <w:color w:val="000000" w:themeColor="text1"/>
          <w:sz w:val="24"/>
          <w:szCs w:val="24"/>
        </w:rPr>
        <w:t xml:space="preserve"> debi</w:t>
      </w:r>
      <w:r w:rsidR="00A33D28">
        <w:rPr>
          <w:rFonts w:ascii="Palatino Linotype" w:hAnsi="Palatino Linotype"/>
          <w:color w:val="000000" w:themeColor="text1"/>
          <w:sz w:val="24"/>
          <w:szCs w:val="24"/>
        </w:rPr>
        <w:t xml:space="preserve">ó atender a </w:t>
      </w:r>
      <w:r w:rsidR="00580013" w:rsidRPr="00A33D28">
        <w:rPr>
          <w:rFonts w:ascii="Palatino Linotype" w:hAnsi="Palatino Linotype"/>
          <w:color w:val="000000" w:themeColor="text1"/>
          <w:sz w:val="24"/>
          <w:szCs w:val="24"/>
        </w:rPr>
        <w:t xml:space="preserve">los Lineamientos para la Organización y Conservación de los Archivos </w:t>
      </w:r>
      <w:r w:rsidR="00A33D28" w:rsidRPr="00A33D28">
        <w:rPr>
          <w:rFonts w:ascii="Palatino Linotype" w:hAnsi="Palatino Linotype"/>
          <w:color w:val="000000" w:themeColor="text1"/>
          <w:sz w:val="24"/>
          <w:szCs w:val="24"/>
        </w:rPr>
        <w:t>establecen tres tipos de archivos:</w:t>
      </w:r>
    </w:p>
    <w:p w:rsidR="00A33D28" w:rsidRDefault="00A33D28" w:rsidP="00AE5804">
      <w:pPr>
        <w:spacing w:after="0" w:line="360" w:lineRule="auto"/>
        <w:ind w:right="49"/>
        <w:jc w:val="both"/>
        <w:rPr>
          <w:rFonts w:ascii="Palatino Linotype" w:hAnsi="Palatino Linotype"/>
          <w:color w:val="000000" w:themeColor="text1"/>
          <w:sz w:val="24"/>
          <w:szCs w:val="24"/>
        </w:rPr>
      </w:pPr>
    </w:p>
    <w:p w:rsidR="00A33D28" w:rsidRPr="00A33D28" w:rsidRDefault="00A33D28" w:rsidP="00A33D28">
      <w:pPr>
        <w:spacing w:after="0" w:line="360" w:lineRule="auto"/>
        <w:ind w:left="567" w:right="567"/>
        <w:contextualSpacing/>
        <w:jc w:val="both"/>
        <w:rPr>
          <w:rFonts w:ascii="Palatino Linotype" w:eastAsia="Times New Roman" w:hAnsi="Palatino Linotype" w:cs="Arial"/>
          <w:i/>
          <w:color w:val="2F2F2F"/>
          <w:szCs w:val="24"/>
          <w:shd w:val="clear" w:color="auto" w:fill="FFFFFF"/>
          <w:lang w:val="es-ES_tradnl" w:eastAsia="es-ES"/>
        </w:rPr>
      </w:pPr>
      <w:r w:rsidRPr="00A33D28">
        <w:rPr>
          <w:rFonts w:ascii="Palatino Linotype" w:eastAsia="Times New Roman" w:hAnsi="Palatino Linotype" w:cs="Arial"/>
          <w:b/>
          <w:bCs/>
          <w:i/>
          <w:color w:val="2F2F2F"/>
          <w:szCs w:val="24"/>
          <w:shd w:val="clear" w:color="auto" w:fill="FFFFFF"/>
          <w:lang w:val="es-ES_tradnl" w:eastAsia="es-ES"/>
        </w:rPr>
        <w:t>Archivo:</w:t>
      </w:r>
      <w:r w:rsidRPr="00A33D28">
        <w:rPr>
          <w:rFonts w:ascii="Palatino Linotype" w:eastAsia="Times New Roman" w:hAnsi="Palatino Linotype" w:cs="Arial"/>
          <w:i/>
          <w:color w:val="2F2F2F"/>
          <w:szCs w:val="24"/>
          <w:shd w:val="clear" w:color="auto" w:fill="FFFFFF"/>
          <w:lang w:val="es-ES_tradnl" w:eastAsia="es-ES"/>
        </w:rPr>
        <w:t> El conjunto orgánico de documentos en cualquier soporte, que son producidos o recibidos por los sujetos obligados o los particulares en el ejercicio de sus atribuciones o en el desarrollo de sus actividades;</w:t>
      </w:r>
    </w:p>
    <w:p w:rsidR="00A33D28" w:rsidRPr="00A33D28" w:rsidRDefault="00A33D28" w:rsidP="00A33D28">
      <w:pPr>
        <w:shd w:val="clear" w:color="auto" w:fill="FFFFFF"/>
        <w:spacing w:after="0" w:line="360" w:lineRule="auto"/>
        <w:ind w:left="567" w:right="567"/>
        <w:jc w:val="both"/>
        <w:rPr>
          <w:rFonts w:ascii="Palatino Linotype" w:eastAsia="Times New Roman" w:hAnsi="Palatino Linotype" w:cs="Arial"/>
          <w:i/>
          <w:color w:val="2F2F2F"/>
          <w:szCs w:val="24"/>
          <w:lang w:eastAsia="es-MX"/>
        </w:rPr>
      </w:pPr>
      <w:r w:rsidRPr="00A33D28">
        <w:rPr>
          <w:rFonts w:ascii="Palatino Linotype" w:eastAsia="Times New Roman" w:hAnsi="Palatino Linotype" w:cs="Arial"/>
          <w:b/>
          <w:bCs/>
          <w:i/>
          <w:color w:val="2F2F2F"/>
          <w:szCs w:val="24"/>
          <w:lang w:eastAsia="es-MX"/>
        </w:rPr>
        <w:t>Archivo de concentración: </w:t>
      </w:r>
      <w:r w:rsidRPr="00A33D28">
        <w:rPr>
          <w:rFonts w:ascii="Palatino Linotype" w:eastAsia="Times New Roman" w:hAnsi="Palatino Linotype" w:cs="Arial"/>
          <w:i/>
          <w:color w:val="2F2F2F"/>
          <w:szCs w:val="24"/>
          <w:lang w:eastAsia="es-MX"/>
        </w:rPr>
        <w:t>La unidad responsable de la administración de documentos cuya consulta es esporádica y que permanecen en ella hasta su transferencia secundaria o baja documental;</w:t>
      </w:r>
    </w:p>
    <w:p w:rsidR="00A33D28" w:rsidRPr="00A33D28" w:rsidRDefault="00A33D28" w:rsidP="00A33D28">
      <w:pPr>
        <w:shd w:val="clear" w:color="auto" w:fill="FFFFFF"/>
        <w:spacing w:after="0" w:line="360" w:lineRule="auto"/>
        <w:ind w:left="567" w:right="567"/>
        <w:jc w:val="both"/>
        <w:rPr>
          <w:rFonts w:ascii="Palatino Linotype" w:eastAsia="Times New Roman" w:hAnsi="Palatino Linotype" w:cs="Arial"/>
          <w:b/>
          <w:i/>
          <w:color w:val="2F2F2F"/>
          <w:szCs w:val="24"/>
          <w:lang w:eastAsia="es-MX"/>
        </w:rPr>
      </w:pPr>
      <w:r w:rsidRPr="00A33D28">
        <w:rPr>
          <w:rFonts w:ascii="Palatino Linotype" w:eastAsia="Times New Roman" w:hAnsi="Palatino Linotype" w:cs="Arial"/>
          <w:b/>
          <w:bCs/>
          <w:i/>
          <w:color w:val="2F2F2F"/>
          <w:szCs w:val="24"/>
          <w:lang w:eastAsia="es-MX"/>
        </w:rPr>
        <w:t>Archivo histórico: </w:t>
      </w:r>
      <w:r w:rsidRPr="00A33D28">
        <w:rPr>
          <w:rFonts w:ascii="Palatino Linotype" w:eastAsia="Times New Roman" w:hAnsi="Palatino Linotype" w:cs="Arial"/>
          <w:b/>
          <w:i/>
          <w:color w:val="2F2F2F"/>
          <w:szCs w:val="24"/>
          <w:lang w:eastAsia="es-MX"/>
        </w:rPr>
        <w:t>La unidad responsable</w:t>
      </w:r>
      <w:r w:rsidRPr="00A33D28">
        <w:rPr>
          <w:rFonts w:ascii="Palatino Linotype" w:eastAsia="Times New Roman" w:hAnsi="Palatino Linotype" w:cs="Arial"/>
          <w:b/>
          <w:bCs/>
          <w:i/>
          <w:color w:val="2F2F2F"/>
          <w:szCs w:val="24"/>
          <w:lang w:eastAsia="es-MX"/>
        </w:rPr>
        <w:t> </w:t>
      </w:r>
      <w:r w:rsidRPr="00A33D28">
        <w:rPr>
          <w:rFonts w:ascii="Palatino Linotype" w:eastAsia="Times New Roman" w:hAnsi="Palatino Linotype" w:cs="Arial"/>
          <w:b/>
          <w:i/>
          <w:color w:val="2F2F2F"/>
          <w:szCs w:val="24"/>
          <w:lang w:eastAsia="es-MX"/>
        </w:rPr>
        <w:t>de la administración de los documentos de conservación permanente y que son fuente de acceso público;</w:t>
      </w:r>
    </w:p>
    <w:p w:rsidR="00A33D28" w:rsidRPr="00A33D28" w:rsidRDefault="00A33D28" w:rsidP="00A33D28">
      <w:pPr>
        <w:shd w:val="clear" w:color="auto" w:fill="FFFFFF"/>
        <w:spacing w:after="0" w:line="360" w:lineRule="auto"/>
        <w:ind w:left="567" w:right="567"/>
        <w:jc w:val="both"/>
        <w:rPr>
          <w:rFonts w:ascii="Palatino Linotype" w:eastAsia="Times New Roman" w:hAnsi="Palatino Linotype" w:cs="Arial"/>
          <w:i/>
          <w:color w:val="2F2F2F"/>
          <w:szCs w:val="24"/>
          <w:lang w:eastAsia="es-MX"/>
        </w:rPr>
      </w:pPr>
      <w:r w:rsidRPr="00A33D28">
        <w:rPr>
          <w:rFonts w:ascii="Palatino Linotype" w:eastAsia="Times New Roman" w:hAnsi="Palatino Linotype" w:cs="Arial"/>
          <w:b/>
          <w:bCs/>
          <w:i/>
          <w:color w:val="2F2F2F"/>
          <w:szCs w:val="24"/>
          <w:lang w:eastAsia="es-MX"/>
        </w:rPr>
        <w:t>Archivo de trámite: </w:t>
      </w:r>
      <w:r w:rsidRPr="00A33D28">
        <w:rPr>
          <w:rFonts w:ascii="Palatino Linotype" w:eastAsia="Times New Roman" w:hAnsi="Palatino Linotype" w:cs="Arial"/>
          <w:i/>
          <w:color w:val="2F2F2F"/>
          <w:szCs w:val="24"/>
          <w:lang w:eastAsia="es-MX"/>
        </w:rPr>
        <w:t>La unidad responsable de la administración de documentos de uso cotidiano y necesario para el ejercicio de las atribuciones de una unidad administrativa, los cuales permanecen en ella hasta su transferencia primaria;</w:t>
      </w:r>
    </w:p>
    <w:p w:rsidR="00A33D28" w:rsidRPr="00A33D28" w:rsidRDefault="00A33D28" w:rsidP="00A33D28">
      <w:pPr>
        <w:shd w:val="clear" w:color="auto" w:fill="FFFFFF"/>
        <w:spacing w:after="0" w:line="360" w:lineRule="auto"/>
        <w:ind w:left="567" w:right="567"/>
        <w:jc w:val="both"/>
        <w:rPr>
          <w:rFonts w:ascii="Palatino Linotype" w:eastAsia="Times New Roman" w:hAnsi="Palatino Linotype" w:cs="Arial"/>
          <w:i/>
          <w:color w:val="2F2F2F"/>
          <w:szCs w:val="24"/>
          <w:lang w:eastAsia="es-MX"/>
        </w:rPr>
      </w:pPr>
    </w:p>
    <w:p w:rsidR="00A33D28" w:rsidRPr="00613505" w:rsidRDefault="00A33D28" w:rsidP="00613505">
      <w:pPr>
        <w:shd w:val="clear" w:color="auto" w:fill="FFFFFF"/>
        <w:spacing w:after="0" w:line="360" w:lineRule="auto"/>
        <w:ind w:left="567" w:right="567"/>
        <w:jc w:val="both"/>
        <w:rPr>
          <w:rFonts w:ascii="Palatino Linotype" w:eastAsia="Times New Roman" w:hAnsi="Palatino Linotype" w:cs="Arial"/>
          <w:i/>
          <w:color w:val="2F2F2F"/>
          <w:szCs w:val="24"/>
          <w:lang w:eastAsia="es-MX"/>
        </w:rPr>
      </w:pPr>
      <w:r w:rsidRPr="00A33D28">
        <w:rPr>
          <w:rFonts w:ascii="Palatino Linotype" w:eastAsia="Times New Roman" w:hAnsi="Palatino Linotype" w:cs="Arial"/>
          <w:i/>
          <w:color w:val="2F2F2F"/>
          <w:szCs w:val="24"/>
          <w:lang w:eastAsia="es-MX"/>
        </w:rPr>
        <w:t>(Énfasis añadido)</w:t>
      </w:r>
    </w:p>
    <w:p w:rsidR="00A33D28" w:rsidRPr="00A33D28" w:rsidRDefault="00A33D28" w:rsidP="00A33D28">
      <w:pPr>
        <w:pStyle w:val="Prrafodelista"/>
        <w:numPr>
          <w:ilvl w:val="0"/>
          <w:numId w:val="1"/>
        </w:numPr>
        <w:spacing w:after="0" w:line="360" w:lineRule="auto"/>
        <w:ind w:left="0" w:hanging="11"/>
        <w:jc w:val="both"/>
        <w:rPr>
          <w:rFonts w:ascii="Palatino Linotype" w:eastAsia="MS Mincho" w:hAnsi="Palatino Linotype" w:cs="Times New Roman"/>
          <w:color w:val="000000"/>
          <w:sz w:val="24"/>
          <w:szCs w:val="24"/>
        </w:rPr>
      </w:pPr>
      <w:r w:rsidRPr="00A33D28">
        <w:rPr>
          <w:rFonts w:ascii="Palatino Linotype" w:eastAsia="MS Mincho" w:hAnsi="Palatino Linotype" w:cs="Times New Roman"/>
          <w:sz w:val="24"/>
          <w:szCs w:val="24"/>
        </w:rPr>
        <w:t xml:space="preserve">Bajo ese contexto se aprecia que en materia de archivo se establecen tres fases o etapas para su organización y conservación que se identifican dependiendo la </w:t>
      </w:r>
      <w:r w:rsidRPr="00A33D28">
        <w:rPr>
          <w:rFonts w:ascii="Palatino Linotype" w:eastAsia="MS Mincho" w:hAnsi="Palatino Linotype" w:cs="Times New Roman"/>
          <w:sz w:val="24"/>
          <w:szCs w:val="24"/>
        </w:rPr>
        <w:lastRenderedPageBreak/>
        <w:t xml:space="preserve">importancia y temporalidad de los mismos, se clasifican en archivo de trámite, ésta es la primera etapa, pues en ella se encuentran los documentos de uso cotidiano y necesario para el ejercicio de las atribuciones de una unidad administrativa, posterior a ello, son transferidos al archivo de concentración, pues en esta etapa se administran los documentos cuya consulta es esporádica, sin embargo existe una tercer etapa que es la denominada archivo histórico, no obstante a esta última no llegan todos los documentos, toda vez que es el </w:t>
      </w:r>
      <w:r w:rsidRPr="00A33D28">
        <w:rPr>
          <w:rFonts w:ascii="Palatino Linotype" w:eastAsia="MS Mincho" w:hAnsi="Palatino Linotype" w:cs="Times New Roman"/>
          <w:i/>
          <w:sz w:val="24"/>
          <w:szCs w:val="24"/>
          <w:lang w:val="es-ES_tradnl" w:eastAsia="es-ES"/>
        </w:rPr>
        <w:t xml:space="preserve">Conjunto organizado de expedientes conservados en forma permanente por el valor científico cultural de su información y que constituyen parte del Patrimonio Documental del Estado. </w:t>
      </w:r>
      <w:r w:rsidRPr="00A33D28">
        <w:rPr>
          <w:rFonts w:ascii="Palatino Linotype" w:eastAsia="MS Mincho" w:hAnsi="Palatino Linotype" w:cs="Times New Roman"/>
          <w:b/>
          <w:i/>
          <w:sz w:val="24"/>
          <w:szCs w:val="24"/>
          <w:lang w:val="es-ES_tradnl" w:eastAsia="es-ES"/>
        </w:rPr>
        <w:t>Unidad responsable</w:t>
      </w:r>
      <w:r w:rsidRPr="00A33D28">
        <w:rPr>
          <w:rFonts w:ascii="Palatino Linotype" w:eastAsia="MS Mincho" w:hAnsi="Palatino Linotype" w:cs="Times New Roman"/>
          <w:i/>
          <w:sz w:val="24"/>
          <w:szCs w:val="24"/>
          <w:lang w:val="es-ES_tradnl" w:eastAsia="es-ES"/>
        </w:rPr>
        <w:t xml:space="preserve"> de recibir, administrar, organizar, describir, conservar y divulgar la memoria documental institucional, así como la integrada por documentos o colecciones documentales facticias de relevancia para la historia del Estado de México, </w:t>
      </w:r>
      <w:r w:rsidRPr="00A33D28">
        <w:rPr>
          <w:rFonts w:ascii="Palatino Linotype" w:eastAsia="MS Mincho" w:hAnsi="Palatino Linotype" w:cs="Times New Roman"/>
          <w:sz w:val="24"/>
          <w:szCs w:val="24"/>
          <w:lang w:val="es-ES_tradnl" w:eastAsia="es-ES"/>
        </w:rPr>
        <w:t xml:space="preserve">sin embargo, es de apreciarse que la normatividad en materia lo establece el término “la Unidad responsable” entendiendo dicha por dicha  manifestación que se refiere a una unidad administrativa exclusiva al resguardo de dicha información, </w:t>
      </w:r>
      <w:r w:rsidRPr="00A33D28">
        <w:rPr>
          <w:rFonts w:ascii="Palatino Linotype" w:eastAsia="MS Mincho" w:hAnsi="Palatino Linotype" w:cs="Times New Roman"/>
          <w:b/>
          <w:sz w:val="24"/>
          <w:szCs w:val="24"/>
          <w:lang w:val="es-ES_tradnl" w:eastAsia="es-ES"/>
        </w:rPr>
        <w:t xml:space="preserve">en consecuencia, se tiene que la recurrente aún y cuando en su solicitud de acceso a la información utilizó la palabra “histórico” no se refiere al archivo histórico, sino más bien al archivo que se resguarda en las unidades administrativas de las que hace mención. </w:t>
      </w:r>
      <w:r w:rsidRPr="00A33D28">
        <w:rPr>
          <w:rFonts w:ascii="Palatino Linotype" w:eastAsia="MS Mincho" w:hAnsi="Palatino Linotype" w:cs="Times New Roman"/>
          <w:sz w:val="24"/>
          <w:szCs w:val="24"/>
          <w:lang w:val="es-ES_tradnl" w:eastAsia="es-ES"/>
        </w:rPr>
        <w:t>Es decir,</w:t>
      </w:r>
      <w:r>
        <w:rPr>
          <w:rFonts w:ascii="Palatino Linotype" w:eastAsia="MS Mincho" w:hAnsi="Palatino Linotype" w:cs="Times New Roman"/>
          <w:sz w:val="24"/>
          <w:szCs w:val="24"/>
          <w:lang w:val="es-ES_tradnl" w:eastAsia="es-ES"/>
        </w:rPr>
        <w:t xml:space="preserve"> en la resolución se debió </w:t>
      </w:r>
      <w:proofErr w:type="gramStart"/>
      <w:r>
        <w:rPr>
          <w:rFonts w:ascii="Palatino Linotype" w:eastAsia="MS Mincho" w:hAnsi="Palatino Linotype" w:cs="Times New Roman"/>
          <w:sz w:val="24"/>
          <w:szCs w:val="24"/>
          <w:lang w:val="es-ES_tradnl" w:eastAsia="es-ES"/>
        </w:rPr>
        <w:t xml:space="preserve">ordenar </w:t>
      </w:r>
      <w:r w:rsidRPr="00A33D28">
        <w:rPr>
          <w:rFonts w:ascii="Palatino Linotype" w:eastAsia="MS Mincho" w:hAnsi="Palatino Linotype" w:cs="Times New Roman"/>
          <w:sz w:val="24"/>
          <w:szCs w:val="24"/>
          <w:lang w:val="es-ES_tradnl" w:eastAsia="es-ES"/>
        </w:rPr>
        <w:t xml:space="preserve"> el</w:t>
      </w:r>
      <w:proofErr w:type="gramEnd"/>
      <w:r w:rsidRPr="00A33D28">
        <w:rPr>
          <w:rFonts w:ascii="Palatino Linotype" w:eastAsia="MS Mincho" w:hAnsi="Palatino Linotype" w:cs="Times New Roman"/>
          <w:sz w:val="24"/>
          <w:szCs w:val="24"/>
          <w:lang w:val="es-ES_tradnl" w:eastAsia="es-ES"/>
        </w:rPr>
        <w:t xml:space="preserve"> </w:t>
      </w:r>
      <w:r w:rsidRPr="00A33D28">
        <w:rPr>
          <w:rFonts w:ascii="Palatino Linotype" w:eastAsia="MS Mincho" w:hAnsi="Palatino Linotype" w:cs="Times New Roman"/>
          <w:b/>
          <w:color w:val="000000"/>
          <w:sz w:val="24"/>
          <w:szCs w:val="24"/>
          <w:lang w:val="es-ES_tradnl" w:eastAsia="es-ES"/>
        </w:rPr>
        <w:t>archivo de trámite y archivo de concentración, pues son los tipos de archivo que se concentran en las unidades administrativas.</w:t>
      </w:r>
    </w:p>
    <w:p w:rsidR="00A33D28" w:rsidRPr="00A33D28" w:rsidRDefault="00A33D28" w:rsidP="00A33D28">
      <w:pPr>
        <w:spacing w:after="0" w:line="360" w:lineRule="auto"/>
        <w:ind w:left="360"/>
        <w:contextualSpacing/>
        <w:jc w:val="both"/>
        <w:rPr>
          <w:rFonts w:ascii="Palatino Linotype" w:eastAsia="MS Mincho" w:hAnsi="Palatino Linotype" w:cs="Times New Roman"/>
          <w:sz w:val="24"/>
          <w:szCs w:val="24"/>
        </w:rPr>
      </w:pPr>
    </w:p>
    <w:p w:rsidR="00441196" w:rsidRPr="00613505" w:rsidRDefault="00A33D28" w:rsidP="006B001E">
      <w:pPr>
        <w:numPr>
          <w:ilvl w:val="0"/>
          <w:numId w:val="1"/>
        </w:numPr>
        <w:spacing w:after="0" w:line="360" w:lineRule="auto"/>
        <w:ind w:left="0" w:firstLine="0"/>
        <w:contextualSpacing/>
        <w:jc w:val="both"/>
        <w:rPr>
          <w:rFonts w:ascii="Palatino Linotype" w:eastAsia="Times New Roman" w:hAnsi="Palatino Linotype" w:cs="Times New Roman"/>
          <w:sz w:val="24"/>
          <w:szCs w:val="24"/>
        </w:rPr>
      </w:pPr>
      <w:r w:rsidRPr="00A33D28">
        <w:rPr>
          <w:rFonts w:ascii="Palatino Linotype" w:eastAsia="Times New Roman" w:hAnsi="Palatino Linotype" w:cs="Times New Roman"/>
          <w:sz w:val="24"/>
          <w:szCs w:val="24"/>
        </w:rPr>
        <w:lastRenderedPageBreak/>
        <w:t xml:space="preserve">Para tal efecto, los lineamientos en comento pretenden que lo correspondiente al archivo, se encuentre debidamente organizados para su consulta, pues necesario referir la obligación de preservar sus documentos en archivos administrativos actualizados se eleva a rango Constitucional como obligación de los Sujetos Obligados. En consecuencia el tema de archivo ha cobrado gran relevancia en los últimos años, toda vez que son la herramienta fundamental para cumplir con lo que es el derecho de acceso a la información de los ciudadanos. Por su parte los lineamientos en cito tienden a </w:t>
      </w:r>
      <w:r w:rsidRPr="00A33D28">
        <w:rPr>
          <w:rFonts w:ascii="Palatino Linotype" w:eastAsia="Times New Roman" w:hAnsi="Palatino Linotype" w:cs="Times New Roman"/>
          <w:i/>
          <w:sz w:val="24"/>
          <w:szCs w:val="24"/>
        </w:rPr>
        <w:t xml:space="preserve">implementar métodos y medidas para administrar, organizar, </w:t>
      </w:r>
      <w:r w:rsidRPr="00A33D28">
        <w:rPr>
          <w:rFonts w:ascii="Palatino Linotype" w:eastAsia="Times New Roman" w:hAnsi="Palatino Linotype" w:cs="Arial"/>
          <w:i/>
          <w:color w:val="2F2F2F"/>
          <w:sz w:val="24"/>
          <w:szCs w:val="24"/>
          <w:shd w:val="clear" w:color="auto" w:fill="FFFFFF"/>
          <w:lang w:val="es-ES_tradnl" w:eastAsia="es-ES"/>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rsidR="00B67CCF" w:rsidRPr="00613505" w:rsidRDefault="00627CAE" w:rsidP="00613505">
      <w:pPr>
        <w:pStyle w:val="Ttulo1"/>
        <w:numPr>
          <w:ilvl w:val="0"/>
          <w:numId w:val="16"/>
        </w:numPr>
        <w:ind w:left="0" w:firstLine="0"/>
        <w:rPr>
          <w:rFonts w:ascii="Palatino Linotype" w:hAnsi="Palatino Linotype"/>
          <w:b/>
          <w:color w:val="auto"/>
          <w:sz w:val="24"/>
          <w:lang w:val="es-ES"/>
        </w:rPr>
      </w:pPr>
      <w:bookmarkStart w:id="11" w:name="_Toc523746026"/>
      <w:r w:rsidRPr="004E54FE">
        <w:rPr>
          <w:rFonts w:ascii="Palatino Linotype" w:hAnsi="Palatino Linotype"/>
          <w:b/>
          <w:color w:val="auto"/>
          <w:sz w:val="24"/>
          <w:lang w:val="es-ES"/>
        </w:rPr>
        <w:t>Conclusión.</w:t>
      </w:r>
      <w:bookmarkEnd w:id="11"/>
      <w:r w:rsidR="00B05E1E" w:rsidRPr="00613505">
        <w:rPr>
          <w:rFonts w:ascii="Palatino Linotype" w:hAnsi="Palatino Linotype" w:cs="Arial"/>
          <w:b/>
          <w:sz w:val="24"/>
          <w:szCs w:val="24"/>
        </w:rPr>
        <w:tab/>
      </w:r>
    </w:p>
    <w:p w:rsidR="00613505" w:rsidRPr="009C2111" w:rsidRDefault="00627CAE" w:rsidP="00613505">
      <w:pPr>
        <w:pStyle w:val="Prrafodelista"/>
        <w:numPr>
          <w:ilvl w:val="0"/>
          <w:numId w:val="1"/>
        </w:numPr>
        <w:spacing w:before="240" w:after="0" w:line="360" w:lineRule="auto"/>
        <w:ind w:left="0" w:firstLine="0"/>
        <w:jc w:val="both"/>
        <w:rPr>
          <w:rFonts w:ascii="Palatino Linotype" w:hAnsi="Palatino Linotype" w:cs="Arial"/>
          <w:sz w:val="24"/>
          <w:szCs w:val="24"/>
        </w:rPr>
      </w:pPr>
      <w:r w:rsidRPr="006B001E">
        <w:rPr>
          <w:rFonts w:ascii="Palatino Linotype" w:hAnsi="Palatino Linotype" w:cs="Arial"/>
          <w:color w:val="000000" w:themeColor="text1"/>
          <w:sz w:val="24"/>
          <w:szCs w:val="24"/>
          <w:lang w:val="es-ES"/>
        </w:rPr>
        <w:t>En virtud de lo anterior</w:t>
      </w:r>
      <w:r w:rsidR="00B67CCF" w:rsidRPr="006B001E">
        <w:rPr>
          <w:rFonts w:ascii="Palatino Linotype" w:hAnsi="Palatino Linotype" w:cs="Arial"/>
          <w:color w:val="000000" w:themeColor="text1"/>
          <w:sz w:val="24"/>
          <w:szCs w:val="24"/>
          <w:lang w:val="es-ES"/>
        </w:rPr>
        <w:t>,</w:t>
      </w:r>
      <w:r w:rsidRPr="006B001E">
        <w:rPr>
          <w:rFonts w:ascii="Palatino Linotype" w:hAnsi="Palatino Linotype" w:cs="Arial"/>
          <w:color w:val="000000" w:themeColor="text1"/>
          <w:sz w:val="24"/>
          <w:szCs w:val="24"/>
          <w:lang w:val="es-ES"/>
        </w:rPr>
        <w:t xml:space="preserve"> es que no puedo compartir los términos aprobados del resolutivo </w:t>
      </w:r>
      <w:r w:rsidR="006B001E" w:rsidRPr="006B001E">
        <w:rPr>
          <w:rFonts w:ascii="Palatino Linotype" w:hAnsi="Palatino Linotype" w:cs="Arial"/>
          <w:color w:val="000000" w:themeColor="text1"/>
          <w:sz w:val="24"/>
          <w:szCs w:val="24"/>
          <w:lang w:val="es-ES"/>
        </w:rPr>
        <w:t>segundo</w:t>
      </w:r>
      <w:r w:rsidR="00407A2F" w:rsidRPr="006B001E">
        <w:rPr>
          <w:rFonts w:ascii="Palatino Linotype" w:hAnsi="Palatino Linotype" w:cs="Arial"/>
          <w:color w:val="000000" w:themeColor="text1"/>
          <w:sz w:val="24"/>
          <w:szCs w:val="24"/>
          <w:lang w:val="es-ES"/>
        </w:rPr>
        <w:t xml:space="preserve"> </w:t>
      </w:r>
      <w:r w:rsidRPr="006B001E">
        <w:rPr>
          <w:rFonts w:ascii="Palatino Linotype" w:hAnsi="Palatino Linotype" w:cs="Arial"/>
          <w:color w:val="000000" w:themeColor="text1"/>
          <w:sz w:val="24"/>
          <w:szCs w:val="24"/>
          <w:lang w:val="es-ES"/>
        </w:rPr>
        <w:t>ya q</w:t>
      </w:r>
      <w:r w:rsidR="00613505">
        <w:rPr>
          <w:rFonts w:ascii="Palatino Linotype" w:hAnsi="Palatino Linotype" w:cs="Arial"/>
          <w:color w:val="000000" w:themeColor="text1"/>
          <w:sz w:val="24"/>
          <w:szCs w:val="24"/>
          <w:lang w:val="es-ES"/>
        </w:rPr>
        <w:t xml:space="preserve">ue, desde mi punto de vista, </w:t>
      </w:r>
      <w:r w:rsidR="006B001E" w:rsidRPr="006B001E">
        <w:rPr>
          <w:rFonts w:ascii="Palatino Linotype" w:hAnsi="Palatino Linotype" w:cs="Arial"/>
          <w:color w:val="000000" w:themeColor="text1"/>
          <w:sz w:val="24"/>
          <w:szCs w:val="24"/>
          <w:lang w:val="es-ES"/>
        </w:rPr>
        <w:t>ordenar el Histórico implica</w:t>
      </w:r>
      <w:r w:rsidR="00E776DB">
        <w:rPr>
          <w:rFonts w:ascii="Palatino Linotype" w:hAnsi="Palatino Linotype" w:cs="Arial"/>
          <w:color w:val="000000" w:themeColor="text1"/>
          <w:sz w:val="24"/>
          <w:szCs w:val="24"/>
          <w:lang w:val="es-ES"/>
        </w:rPr>
        <w:t xml:space="preserve"> una </w:t>
      </w:r>
      <w:r w:rsidR="006B001E" w:rsidRPr="006B001E">
        <w:rPr>
          <w:rFonts w:ascii="Palatino Linotype" w:hAnsi="Palatino Linotype" w:cs="Arial"/>
          <w:color w:val="000000" w:themeColor="text1"/>
          <w:sz w:val="24"/>
          <w:szCs w:val="24"/>
          <w:lang w:val="es-ES"/>
        </w:rPr>
        <w:t>falta de certeza jurídica, que debió ser subsanada</w:t>
      </w:r>
      <w:r w:rsidR="00613505">
        <w:rPr>
          <w:rFonts w:ascii="Palatino Linotype" w:hAnsi="Palatino Linotype" w:cs="Arial"/>
          <w:color w:val="000000" w:themeColor="text1"/>
          <w:sz w:val="24"/>
          <w:szCs w:val="24"/>
          <w:lang w:val="es-ES"/>
        </w:rPr>
        <w:t xml:space="preserve">, ordenando </w:t>
      </w:r>
      <w:r w:rsidR="006B001E" w:rsidRPr="006B001E">
        <w:rPr>
          <w:rFonts w:ascii="Palatino Linotype" w:hAnsi="Palatino Linotype" w:cs="Arial"/>
          <w:color w:val="000000" w:themeColor="text1"/>
          <w:sz w:val="24"/>
          <w:szCs w:val="24"/>
          <w:lang w:val="es-ES"/>
        </w:rPr>
        <w:t xml:space="preserve">el archivo de concentración y de trámite.  </w:t>
      </w:r>
    </w:p>
    <w:p w:rsidR="009C2111" w:rsidRDefault="009C2111" w:rsidP="009C2111">
      <w:pPr>
        <w:pStyle w:val="Prrafodelista"/>
        <w:spacing w:before="240" w:after="0" w:line="360" w:lineRule="auto"/>
        <w:ind w:left="0"/>
        <w:jc w:val="both"/>
        <w:rPr>
          <w:rFonts w:ascii="Palatino Linotype" w:hAnsi="Palatino Linotype" w:cs="Arial"/>
          <w:color w:val="000000" w:themeColor="text1"/>
          <w:sz w:val="24"/>
          <w:szCs w:val="24"/>
          <w:lang w:val="es-ES"/>
        </w:rPr>
      </w:pPr>
    </w:p>
    <w:p w:rsidR="009C2111" w:rsidRPr="00613505" w:rsidRDefault="009C2111" w:rsidP="009C2111">
      <w:pPr>
        <w:pStyle w:val="Prrafodelista"/>
        <w:spacing w:before="240" w:after="0" w:line="360" w:lineRule="auto"/>
        <w:ind w:left="0"/>
        <w:jc w:val="both"/>
        <w:rPr>
          <w:rFonts w:ascii="Palatino Linotype" w:hAnsi="Palatino Linotype" w:cs="Arial"/>
          <w:sz w:val="24"/>
          <w:szCs w:val="24"/>
        </w:rPr>
      </w:pPr>
    </w:p>
    <w:p w:rsidR="00627CAE" w:rsidRPr="000C1EE1" w:rsidRDefault="00627CAE" w:rsidP="009C2111">
      <w:pPr>
        <w:spacing w:after="0" w:line="24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9C2111">
      <w:pPr>
        <w:spacing w:after="0" w:line="24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B75AFA" w:rsidRPr="00753B0B" w:rsidRDefault="00B67CCF" w:rsidP="009C2111">
      <w:pPr>
        <w:spacing w:after="0" w:line="240" w:lineRule="auto"/>
        <w:rPr>
          <w:rFonts w:ascii="Palatino Linotype" w:eastAsia="Calibri" w:hAnsi="Palatino Linotype" w:cs="Arial"/>
          <w:sz w:val="20"/>
          <w:szCs w:val="20"/>
        </w:rPr>
      </w:pPr>
      <w:r w:rsidRPr="00753B0B">
        <w:rPr>
          <w:rFonts w:ascii="Palatino Linotype" w:eastAsia="Calibri" w:hAnsi="Palatino Linotype" w:cs="Arial"/>
          <w:b/>
          <w:sz w:val="20"/>
          <w:szCs w:val="20"/>
        </w:rPr>
        <w:t>JGLH/</w:t>
      </w:r>
      <w:r w:rsidR="006B001E">
        <w:rPr>
          <w:rFonts w:ascii="Palatino Linotype" w:eastAsia="Calibri" w:hAnsi="Palatino Linotype" w:cs="Arial"/>
          <w:b/>
          <w:sz w:val="20"/>
          <w:szCs w:val="20"/>
        </w:rPr>
        <w:t>MPBR</w:t>
      </w:r>
    </w:p>
    <w:sectPr w:rsidR="00B75AFA" w:rsidRPr="00753B0B"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EC" w:rsidRDefault="00B335EC" w:rsidP="00E82D3D">
      <w:pPr>
        <w:spacing w:after="0" w:line="240" w:lineRule="auto"/>
      </w:pPr>
      <w:r>
        <w:separator/>
      </w:r>
    </w:p>
  </w:endnote>
  <w:endnote w:type="continuationSeparator" w:id="0">
    <w:p w:rsidR="00B335EC" w:rsidRDefault="00B335E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1E4F">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1E4F">
              <w:rPr>
                <w:b/>
                <w:bCs/>
                <w:noProof/>
              </w:rPr>
              <w:t>15</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EC" w:rsidRDefault="00B335EC" w:rsidP="00E82D3D">
      <w:pPr>
        <w:spacing w:after="0" w:line="240" w:lineRule="auto"/>
      </w:pPr>
      <w:r>
        <w:separator/>
      </w:r>
    </w:p>
  </w:footnote>
  <w:footnote w:type="continuationSeparator" w:id="0">
    <w:p w:rsidR="00B335EC" w:rsidRDefault="00B335EC" w:rsidP="00E82D3D">
      <w:pPr>
        <w:spacing w:after="0" w:line="240" w:lineRule="auto"/>
      </w:pPr>
      <w:r>
        <w:continuationSeparator/>
      </w:r>
    </w:p>
  </w:footnote>
  <w:footnote w:id="1">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w:t>
      </w:r>
      <w:proofErr w:type="spellStart"/>
      <w:r w:rsidRPr="00FA14E5">
        <w:rPr>
          <w:rFonts w:ascii="Arial" w:hAnsi="Arial" w:cs="Arial"/>
        </w:rPr>
        <w:t>Trotta</w:t>
      </w:r>
      <w:proofErr w:type="spellEnd"/>
      <w:r w:rsidRPr="00FA14E5">
        <w:rPr>
          <w:rFonts w:ascii="Arial" w:hAnsi="Arial" w:cs="Arial"/>
        </w:rPr>
        <w:t>, 2010. Pág. 24</w:t>
      </w:r>
    </w:p>
  </w:footnote>
  <w:footnote w:id="2">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FA14E5">
        <w:rPr>
          <w:rFonts w:ascii="Arial" w:hAnsi="Arial" w:cs="Arial"/>
        </w:rPr>
        <w:t>Alexy</w:t>
      </w:r>
      <w:proofErr w:type="spellEnd"/>
      <w:r w:rsidRPr="00FA14E5">
        <w:rPr>
          <w:rFonts w:ascii="Arial" w:hAnsi="Arial" w:cs="Arial"/>
        </w:rPr>
        <w:t xml:space="preserve">, Robert. </w:t>
      </w:r>
      <w:r w:rsidRPr="000C14C0">
        <w:rPr>
          <w:rFonts w:ascii="Arial" w:hAnsi="Arial" w:cs="Arial"/>
          <w:i/>
        </w:rPr>
        <w:t>Teoría de los derechos fundamentales.</w:t>
      </w:r>
      <w:r w:rsidRPr="00FA14E5">
        <w:rPr>
          <w:rFonts w:ascii="Arial" w:hAnsi="Arial" w:cs="Arial"/>
        </w:rPr>
        <w:t xml:space="preserve"> Segunda edición, Madrid, Ed, Centro de Estudios Políticos y Constitucionales. 2014. Pág. 68.</w:t>
      </w:r>
    </w:p>
  </w:footnote>
  <w:footnote w:id="3">
    <w:p w:rsidR="00B50675" w:rsidRDefault="00B50675" w:rsidP="00B50675">
      <w:pPr>
        <w:pStyle w:val="Textonotapie"/>
      </w:pPr>
      <w:r>
        <w:rPr>
          <w:rStyle w:val="Refdenotaalpie"/>
        </w:rPr>
        <w:footnoteRef/>
      </w:r>
      <w:r>
        <w:t xml:space="preserve"> Convención Americana sobre Derechos Humanos. Artículo 13.</w:t>
      </w:r>
    </w:p>
  </w:footnote>
  <w:footnote w:id="4">
    <w:p w:rsidR="00B50675" w:rsidRDefault="00B50675" w:rsidP="00B50675">
      <w:pPr>
        <w:pStyle w:val="Textonotapie"/>
      </w:pPr>
      <w:r>
        <w:rPr>
          <w:rStyle w:val="Refdenotaalpie"/>
        </w:rPr>
        <w:footnoteRef/>
      </w:r>
      <w:r>
        <w:t xml:space="preserve"> Constitución Política de los Estados Unidos Mexicanos. Artículo sexto, sección A, Fracción I.</w:t>
      </w:r>
    </w:p>
  </w:footnote>
  <w:footnote w:id="5">
    <w:p w:rsidR="00B50675" w:rsidRDefault="00B50675" w:rsidP="00B5067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B50675" w:rsidRDefault="00B50675" w:rsidP="00B5067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w:t>
      </w:r>
      <w:proofErr w:type="spellStart"/>
      <w:r w:rsidRPr="00FA14E5">
        <w:rPr>
          <w:rFonts w:ascii="Arial" w:hAnsi="Arial" w:cs="Arial"/>
        </w:rPr>
        <w:t>Trotta</w:t>
      </w:r>
      <w:proofErr w:type="spellEnd"/>
      <w:r w:rsidRPr="00FA14E5">
        <w:rPr>
          <w:rFonts w:ascii="Arial" w:hAnsi="Arial" w:cs="Arial"/>
        </w:rPr>
        <w:t>, 2014.Pág. 62.</w:t>
      </w:r>
    </w:p>
  </w:footnote>
  <w:footnote w:id="8">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w:t>
      </w:r>
      <w:proofErr w:type="spellStart"/>
      <w:r w:rsidRPr="00FA14E5">
        <w:rPr>
          <w:rFonts w:ascii="Arial" w:hAnsi="Arial" w:cs="Arial"/>
        </w:rPr>
        <w:t>Trotta</w:t>
      </w:r>
      <w:proofErr w:type="spellEnd"/>
      <w:r w:rsidRPr="00FA14E5">
        <w:rPr>
          <w:rFonts w:ascii="Arial" w:hAnsi="Arial" w:cs="Arial"/>
        </w:rPr>
        <w:t>. 2011. Pág. 40.</w:t>
      </w:r>
    </w:p>
  </w:footnote>
  <w:footnote w:id="9">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Comisión Interamericana de Derechos Humanos. Relatoría Especial para la Libertad de Expresión. El derecho de acceso a la información pública en el marco jurídico interamericano. 2ª. Edición, OEA, 2012. Párr. 29.</w:t>
      </w:r>
    </w:p>
  </w:footnote>
  <w:footnote w:id="10">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Corte Interamericana de Derechos Humanos. Caso Claude Reyes y otros contra Chile. Sentencia de 19 de septiembre de 2006. </w:t>
      </w:r>
      <w:proofErr w:type="spellStart"/>
      <w:r w:rsidRPr="00FA14E5">
        <w:rPr>
          <w:rFonts w:ascii="Arial" w:hAnsi="Arial" w:cs="Arial"/>
        </w:rPr>
        <w:t>Párrfs</w:t>
      </w:r>
      <w:proofErr w:type="spellEnd"/>
      <w:r w:rsidRPr="00FA14E5">
        <w:rPr>
          <w:rFonts w:ascii="Arial" w:hAnsi="Arial" w:cs="Arial"/>
        </w:rPr>
        <w:t>. 116-139.</w:t>
      </w:r>
    </w:p>
  </w:footnote>
  <w:footnote w:id="11">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OPINIÓN PARTICULAR DEL COMISIONADO JOSÉ GUADALUPE LUNA HERNÁNDEZ EN EL RECURSO DE REVISIÓN 01750/INFOEM/IP/RR/2015 Y 01751/INFOEM/IP/RR/2015. Párr. 21.</w:t>
      </w:r>
    </w:p>
  </w:footnote>
  <w:footnote w:id="12">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La demo…cit. </w:t>
      </w:r>
      <w:r w:rsidRPr="00FA14E5">
        <w:rPr>
          <w:rFonts w:ascii="Arial" w:hAnsi="Arial" w:cs="Arial"/>
        </w:rPr>
        <w:t>Pág. 62.</w:t>
      </w:r>
    </w:p>
  </w:footnote>
  <w:footnote w:id="13">
    <w:p w:rsidR="00B50675" w:rsidRPr="00FA14E5" w:rsidRDefault="00B50675" w:rsidP="00B50675">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Pode… cit. </w:t>
      </w:r>
      <w:r w:rsidRPr="00FA14E5">
        <w:rPr>
          <w:rFonts w:ascii="Arial" w:hAnsi="Arial" w:cs="Arial"/>
        </w:rPr>
        <w:t>Pág. 40.</w:t>
      </w:r>
    </w:p>
  </w:footnote>
  <w:footnote w:id="14">
    <w:p w:rsidR="00B05E1E" w:rsidRDefault="00B05E1E" w:rsidP="00B05E1E">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15">
    <w:p w:rsidR="00B05E1E" w:rsidRDefault="00B05E1E" w:rsidP="00B05E1E">
      <w:pPr>
        <w:pStyle w:val="Textonotapie"/>
      </w:pPr>
      <w:r>
        <w:rPr>
          <w:rStyle w:val="Refdenotaalpie"/>
        </w:rPr>
        <w:footnoteRef/>
      </w:r>
      <w:r>
        <w:t xml:space="preserve"> </w:t>
      </w:r>
      <w:r w:rsidRPr="00C775C0">
        <w:rPr>
          <w:i/>
        </w:rPr>
        <w:t>Ibídem</w:t>
      </w:r>
      <w:r>
        <w:t>. Pág. 3594.</w:t>
      </w:r>
    </w:p>
  </w:footnote>
  <w:footnote w:id="16">
    <w:p w:rsidR="00B05E1E" w:rsidRDefault="00B05E1E" w:rsidP="00B05E1E">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B335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B335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B335E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184C"/>
    <w:multiLevelType w:val="hybridMultilevel"/>
    <w:tmpl w:val="82487AB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CB1E7B"/>
    <w:multiLevelType w:val="hybridMultilevel"/>
    <w:tmpl w:val="12D255F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663744"/>
    <w:multiLevelType w:val="hybridMultilevel"/>
    <w:tmpl w:val="CD12E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8E2722"/>
    <w:multiLevelType w:val="hybridMultilevel"/>
    <w:tmpl w:val="DD68860A"/>
    <w:lvl w:ilvl="0" w:tplc="B124392A">
      <w:start w:val="1"/>
      <w:numFmt w:val="decimal"/>
      <w:lvlText w:val="%1."/>
      <w:lvlJc w:val="left"/>
      <w:pPr>
        <w:ind w:left="720" w:hanging="360"/>
      </w:pPr>
      <w:rPr>
        <w:rFonts w:ascii="Palatino Linotype" w:eastAsia="Times New Roman"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1A0571"/>
    <w:multiLevelType w:val="hybridMultilevel"/>
    <w:tmpl w:val="F7121E80"/>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DF50F0"/>
    <w:multiLevelType w:val="hybridMultilevel"/>
    <w:tmpl w:val="A1F85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370768"/>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A74265"/>
    <w:multiLevelType w:val="hybridMultilevel"/>
    <w:tmpl w:val="C3A42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53553349"/>
    <w:multiLevelType w:val="hybridMultilevel"/>
    <w:tmpl w:val="7A3A8A6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7A7D6B21"/>
    <w:multiLevelType w:val="hybridMultilevel"/>
    <w:tmpl w:val="5C98C5BC"/>
    <w:lvl w:ilvl="0" w:tplc="5652EB10">
      <w:start w:val="1"/>
      <w:numFmt w:val="upperRoman"/>
      <w:lvlText w:val="%1."/>
      <w:lvlJc w:val="left"/>
      <w:pPr>
        <w:ind w:left="1080" w:hanging="720"/>
      </w:pPr>
      <w:rPr>
        <w:rFonts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3"/>
  </w:num>
  <w:num w:numId="3">
    <w:abstractNumId w:val="16"/>
  </w:num>
  <w:num w:numId="4">
    <w:abstractNumId w:val="19"/>
  </w:num>
  <w:num w:numId="5">
    <w:abstractNumId w:val="18"/>
  </w:num>
  <w:num w:numId="6">
    <w:abstractNumId w:val="5"/>
  </w:num>
  <w:num w:numId="7">
    <w:abstractNumId w:val="23"/>
  </w:num>
  <w:num w:numId="8">
    <w:abstractNumId w:val="17"/>
  </w:num>
  <w:num w:numId="9">
    <w:abstractNumId w:val="22"/>
  </w:num>
  <w:num w:numId="10">
    <w:abstractNumId w:val="12"/>
  </w:num>
  <w:num w:numId="11">
    <w:abstractNumId w:val="20"/>
  </w:num>
  <w:num w:numId="12">
    <w:abstractNumId w:val="7"/>
  </w:num>
  <w:num w:numId="13">
    <w:abstractNumId w:val="1"/>
  </w:num>
  <w:num w:numId="14">
    <w:abstractNumId w:val="4"/>
  </w:num>
  <w:num w:numId="15">
    <w:abstractNumId w:val="14"/>
  </w:num>
  <w:num w:numId="16">
    <w:abstractNumId w:val="24"/>
  </w:num>
  <w:num w:numId="17">
    <w:abstractNumId w:val="11"/>
  </w:num>
  <w:num w:numId="18">
    <w:abstractNumId w:val="3"/>
  </w:num>
  <w:num w:numId="19">
    <w:abstractNumId w:val="10"/>
  </w:num>
  <w:num w:numId="20">
    <w:abstractNumId w:val="2"/>
  </w:num>
  <w:num w:numId="21">
    <w:abstractNumId w:val="0"/>
  </w:num>
  <w:num w:numId="22">
    <w:abstractNumId w:val="8"/>
  </w:num>
  <w:num w:numId="23">
    <w:abstractNumId w:val="9"/>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2CAF"/>
    <w:rsid w:val="00075EA6"/>
    <w:rsid w:val="0009550C"/>
    <w:rsid w:val="00096CC2"/>
    <w:rsid w:val="000C1EE1"/>
    <w:rsid w:val="000E1040"/>
    <w:rsid w:val="00101869"/>
    <w:rsid w:val="00102360"/>
    <w:rsid w:val="0010753A"/>
    <w:rsid w:val="001240A5"/>
    <w:rsid w:val="001369DC"/>
    <w:rsid w:val="001B19B4"/>
    <w:rsid w:val="001D64D3"/>
    <w:rsid w:val="001F7C80"/>
    <w:rsid w:val="00220135"/>
    <w:rsid w:val="002275B6"/>
    <w:rsid w:val="00232437"/>
    <w:rsid w:val="002E0BA4"/>
    <w:rsid w:val="002E3ED2"/>
    <w:rsid w:val="002F79FF"/>
    <w:rsid w:val="003258B6"/>
    <w:rsid w:val="0032621F"/>
    <w:rsid w:val="00337F45"/>
    <w:rsid w:val="003416F2"/>
    <w:rsid w:val="00351453"/>
    <w:rsid w:val="00365A30"/>
    <w:rsid w:val="00384DBA"/>
    <w:rsid w:val="00394EAF"/>
    <w:rsid w:val="00401E8B"/>
    <w:rsid w:val="00407A2F"/>
    <w:rsid w:val="00441196"/>
    <w:rsid w:val="00451A08"/>
    <w:rsid w:val="0048628E"/>
    <w:rsid w:val="004B37BC"/>
    <w:rsid w:val="004B6A69"/>
    <w:rsid w:val="004E54FE"/>
    <w:rsid w:val="0051092B"/>
    <w:rsid w:val="005229B7"/>
    <w:rsid w:val="005556CA"/>
    <w:rsid w:val="0057269E"/>
    <w:rsid w:val="00580013"/>
    <w:rsid w:val="00597FBD"/>
    <w:rsid w:val="005E1430"/>
    <w:rsid w:val="005F30BC"/>
    <w:rsid w:val="00613505"/>
    <w:rsid w:val="00616933"/>
    <w:rsid w:val="00617ACF"/>
    <w:rsid w:val="00627CAE"/>
    <w:rsid w:val="00674EE0"/>
    <w:rsid w:val="006A7929"/>
    <w:rsid w:val="006B001E"/>
    <w:rsid w:val="006B54EE"/>
    <w:rsid w:val="006B6E4B"/>
    <w:rsid w:val="006E1AA2"/>
    <w:rsid w:val="006F0A01"/>
    <w:rsid w:val="00753B0B"/>
    <w:rsid w:val="00775E57"/>
    <w:rsid w:val="00781B49"/>
    <w:rsid w:val="0079704B"/>
    <w:rsid w:val="00797A31"/>
    <w:rsid w:val="007A2AA5"/>
    <w:rsid w:val="007C6997"/>
    <w:rsid w:val="007D037D"/>
    <w:rsid w:val="00807E40"/>
    <w:rsid w:val="00814492"/>
    <w:rsid w:val="0082147D"/>
    <w:rsid w:val="0083750E"/>
    <w:rsid w:val="00861BB5"/>
    <w:rsid w:val="008A4C72"/>
    <w:rsid w:val="008B3418"/>
    <w:rsid w:val="00924FD2"/>
    <w:rsid w:val="009623E8"/>
    <w:rsid w:val="009A2D39"/>
    <w:rsid w:val="009C2111"/>
    <w:rsid w:val="009E14DE"/>
    <w:rsid w:val="00A16FEB"/>
    <w:rsid w:val="00A24423"/>
    <w:rsid w:val="00A33D28"/>
    <w:rsid w:val="00A431F3"/>
    <w:rsid w:val="00A727D5"/>
    <w:rsid w:val="00AE5804"/>
    <w:rsid w:val="00B05E1E"/>
    <w:rsid w:val="00B066EB"/>
    <w:rsid w:val="00B335EC"/>
    <w:rsid w:val="00B46E35"/>
    <w:rsid w:val="00B50675"/>
    <w:rsid w:val="00B55534"/>
    <w:rsid w:val="00B57C0A"/>
    <w:rsid w:val="00B67CCF"/>
    <w:rsid w:val="00B75AFA"/>
    <w:rsid w:val="00B9285A"/>
    <w:rsid w:val="00B92C8E"/>
    <w:rsid w:val="00BA2F18"/>
    <w:rsid w:val="00BB488C"/>
    <w:rsid w:val="00BB5302"/>
    <w:rsid w:val="00BB5722"/>
    <w:rsid w:val="00C3567A"/>
    <w:rsid w:val="00C65912"/>
    <w:rsid w:val="00C753D8"/>
    <w:rsid w:val="00C760CB"/>
    <w:rsid w:val="00C851A8"/>
    <w:rsid w:val="00CA2B8E"/>
    <w:rsid w:val="00CC31A5"/>
    <w:rsid w:val="00CC7CC1"/>
    <w:rsid w:val="00CD1E4F"/>
    <w:rsid w:val="00CD46C3"/>
    <w:rsid w:val="00CF0462"/>
    <w:rsid w:val="00D23CD6"/>
    <w:rsid w:val="00D704EE"/>
    <w:rsid w:val="00D842E6"/>
    <w:rsid w:val="00D84F48"/>
    <w:rsid w:val="00DA674B"/>
    <w:rsid w:val="00DC11A3"/>
    <w:rsid w:val="00DD14BB"/>
    <w:rsid w:val="00DE7A32"/>
    <w:rsid w:val="00DF6828"/>
    <w:rsid w:val="00E776DB"/>
    <w:rsid w:val="00E82D3D"/>
    <w:rsid w:val="00EB7D05"/>
    <w:rsid w:val="00F22581"/>
    <w:rsid w:val="00F30EE8"/>
    <w:rsid w:val="00F45496"/>
    <w:rsid w:val="00F7738C"/>
    <w:rsid w:val="00F86069"/>
    <w:rsid w:val="00FC605B"/>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5E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6B001E"/>
    <w:pPr>
      <w:tabs>
        <w:tab w:val="left" w:pos="880"/>
        <w:tab w:val="right" w:leader="dot" w:pos="8828"/>
      </w:tabs>
      <w:spacing w:after="100"/>
      <w:ind w:left="220" w:hanging="220"/>
    </w:pPr>
  </w:style>
  <w:style w:type="character" w:customStyle="1" w:styleId="Ttulo2Car">
    <w:name w:val="Título 2 Car"/>
    <w:basedOn w:val="Fuentedeprrafopredeter"/>
    <w:link w:val="Ttulo2"/>
    <w:uiPriority w:val="9"/>
    <w:rsid w:val="00B05E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7CED-0A3F-4513-9265-7EEB5B8A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2977</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2018-09-12T19:16:00Z</cp:lastPrinted>
  <dcterms:created xsi:type="dcterms:W3CDTF">2018-09-06T18:16:00Z</dcterms:created>
  <dcterms:modified xsi:type="dcterms:W3CDTF">2018-11-07T21:18:00Z</dcterms:modified>
</cp:coreProperties>
</file>